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FF126" w14:textId="77777777" w:rsidR="00863A23" w:rsidRDefault="0054749A" w:rsidP="0054749A">
      <w:pPr>
        <w:shd w:val="clear" w:color="auto" w:fill="FFFFFF"/>
        <w:spacing w:after="0" w:line="240" w:lineRule="auto"/>
        <w:ind w:firstLine="360"/>
        <w:jc w:val="center"/>
        <w:rPr>
          <w:rFonts w:eastAsia="Times New Roman"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BAA</w:t>
      </w:r>
      <w:r w:rsidRPr="0054749A">
        <w:rPr>
          <w:rFonts w:ascii="Helvetica" w:eastAsia="Times New Roman" w:hAnsi="Helvetica" w:cs="Times New Roman"/>
          <w:color w:val="333333"/>
          <w:kern w:val="0"/>
          <w:sz w:val="21"/>
          <w:szCs w:val="21"/>
          <w:lang w:eastAsia="ru-RU"/>
          <w14:ligatures w14:val="none"/>
        </w:rPr>
        <w:br/>
      </w:r>
      <w:r w:rsidRPr="0054749A">
        <w:rPr>
          <w:rFonts w:ascii="Helvetica" w:eastAsia="Times New Roman" w:hAnsi="Helvetica" w:cs="Times New Roman"/>
          <w:color w:val="333333"/>
          <w:kern w:val="0"/>
          <w:sz w:val="21"/>
          <w:szCs w:val="21"/>
          <w:lang w:eastAsia="ru-RU"/>
          <w14:ligatures w14:val="none"/>
        </w:rPr>
        <w:br/>
        <w:t>О ВВЕДЕНИИ В ДЕЙСТВИЕ САНПИН МЗ И СЗ ПМР 2.1.7.1038-08</w:t>
      </w:r>
      <w:r w:rsidRPr="0054749A">
        <w:rPr>
          <w:rFonts w:ascii="Helvetica" w:eastAsia="Times New Roman" w:hAnsi="Helvetica" w:cs="Times New Roman"/>
          <w:color w:val="333333"/>
          <w:kern w:val="0"/>
          <w:sz w:val="21"/>
          <w:szCs w:val="21"/>
          <w:lang w:eastAsia="ru-RU"/>
          <w14:ligatures w14:val="none"/>
        </w:rPr>
        <w:br/>
        <w:t>"ГИГИЕНИЧЕСКИЕ ТРЕБОВАНИЯ К УСТРОЙСТВУ И СОДЕРЖАНИЮ</w:t>
      </w:r>
      <w:r w:rsidRPr="0054749A">
        <w:rPr>
          <w:rFonts w:ascii="Helvetica" w:eastAsia="Times New Roman" w:hAnsi="Helvetica" w:cs="Times New Roman"/>
          <w:color w:val="333333"/>
          <w:kern w:val="0"/>
          <w:sz w:val="21"/>
          <w:szCs w:val="21"/>
          <w:lang w:eastAsia="ru-RU"/>
          <w14:ligatures w14:val="none"/>
        </w:rPr>
        <w:br/>
        <w:t>ПОЛИГОНОВ ДЛЯ ТВЕРДЫХ БЫТОВЫХ ОТХОДОВ"</w:t>
      </w:r>
      <w:r w:rsidRPr="0054749A">
        <w:rPr>
          <w:rFonts w:ascii="Helvetica" w:eastAsia="Times New Roman" w:hAnsi="Helvetica" w:cs="Times New Roman"/>
          <w:color w:val="333333"/>
          <w:kern w:val="0"/>
          <w:sz w:val="21"/>
          <w:szCs w:val="21"/>
          <w:lang w:eastAsia="ru-RU"/>
          <w14:ligatures w14:val="none"/>
        </w:rPr>
        <w:br/>
      </w:r>
      <w:r w:rsidRPr="0054749A">
        <w:rPr>
          <w:rFonts w:ascii="Helvetica" w:eastAsia="Times New Roman" w:hAnsi="Helvetica" w:cs="Times New Roman"/>
          <w:color w:val="333333"/>
          <w:kern w:val="0"/>
          <w:sz w:val="21"/>
          <w:szCs w:val="21"/>
          <w:lang w:eastAsia="ru-RU"/>
          <w14:ligatures w14:val="none"/>
        </w:rPr>
        <w:br/>
        <w:t>ПРИКАЗ</w:t>
      </w:r>
      <w:r w:rsidRPr="0054749A">
        <w:rPr>
          <w:rFonts w:ascii="Helvetica" w:eastAsia="Times New Roman" w:hAnsi="Helvetica" w:cs="Times New Roman"/>
          <w:color w:val="333333"/>
          <w:kern w:val="0"/>
          <w:sz w:val="21"/>
          <w:szCs w:val="21"/>
          <w:lang w:eastAsia="ru-RU"/>
          <w14:ligatures w14:val="none"/>
        </w:rPr>
        <w:br/>
        <w:t xml:space="preserve">МИНИСТЕРСТВО ЗДРАВООХРАНЕНИЯ </w:t>
      </w:r>
      <w:r w:rsidR="00863A23">
        <w:rPr>
          <w:rFonts w:eastAsia="Times New Roman" w:cs="Times New Roman"/>
          <w:color w:val="333333"/>
          <w:kern w:val="0"/>
          <w:sz w:val="21"/>
          <w:szCs w:val="21"/>
          <w:lang w:eastAsia="ru-RU"/>
          <w14:ligatures w14:val="none"/>
        </w:rPr>
        <w:t xml:space="preserve"> </w:t>
      </w:r>
    </w:p>
    <w:p w14:paraId="15A12B03" w14:textId="7FA73602" w:rsidR="0054749A" w:rsidRDefault="0054749A" w:rsidP="0054749A">
      <w:pPr>
        <w:shd w:val="clear" w:color="auto" w:fill="FFFFFF"/>
        <w:spacing w:after="0" w:line="240" w:lineRule="auto"/>
        <w:ind w:firstLine="360"/>
        <w:jc w:val="center"/>
        <w:rPr>
          <w:rFonts w:eastAsia="Times New Roman"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ПРИДНЕСТРОВСКОЙ МОЛДАВСКОЙ РЕСПУБЛИКИ</w:t>
      </w:r>
      <w:r w:rsidRPr="0054749A">
        <w:rPr>
          <w:rFonts w:ascii="Helvetica" w:eastAsia="Times New Roman" w:hAnsi="Helvetica" w:cs="Times New Roman"/>
          <w:color w:val="333333"/>
          <w:kern w:val="0"/>
          <w:sz w:val="21"/>
          <w:szCs w:val="21"/>
          <w:lang w:eastAsia="ru-RU"/>
          <w14:ligatures w14:val="none"/>
        </w:rPr>
        <w:br/>
        <w:t>12 февраля 2008 г.</w:t>
      </w:r>
      <w:r w:rsidRPr="0054749A">
        <w:rPr>
          <w:rFonts w:ascii="Helvetica" w:eastAsia="Times New Roman" w:hAnsi="Helvetica" w:cs="Times New Roman"/>
          <w:color w:val="333333"/>
          <w:kern w:val="0"/>
          <w:sz w:val="21"/>
          <w:szCs w:val="21"/>
          <w:lang w:eastAsia="ru-RU"/>
          <w14:ligatures w14:val="none"/>
        </w:rPr>
        <w:br/>
        <w:t>N 97</w:t>
      </w:r>
      <w:r w:rsidRPr="0054749A">
        <w:rPr>
          <w:rFonts w:ascii="Helvetica" w:eastAsia="Times New Roman" w:hAnsi="Helvetica" w:cs="Times New Roman"/>
          <w:color w:val="333333"/>
          <w:kern w:val="0"/>
          <w:sz w:val="21"/>
          <w:szCs w:val="21"/>
          <w:lang w:eastAsia="ru-RU"/>
          <w14:ligatures w14:val="none"/>
        </w:rPr>
        <w:br/>
        <w:t>(САЗ 08-15)</w:t>
      </w:r>
      <w:r w:rsidRPr="0054749A">
        <w:rPr>
          <w:rFonts w:ascii="Helvetica" w:eastAsia="Times New Roman" w:hAnsi="Helvetica" w:cs="Times New Roman"/>
          <w:color w:val="333333"/>
          <w:kern w:val="0"/>
          <w:sz w:val="21"/>
          <w:szCs w:val="21"/>
          <w:lang w:eastAsia="ru-RU"/>
          <w14:ligatures w14:val="none"/>
        </w:rPr>
        <w:br/>
      </w:r>
      <w:r w:rsidRPr="0054749A">
        <w:rPr>
          <w:rFonts w:ascii="Helvetica" w:eastAsia="Times New Roman" w:hAnsi="Helvetica" w:cs="Times New Roman"/>
          <w:color w:val="333333"/>
          <w:kern w:val="0"/>
          <w:sz w:val="21"/>
          <w:szCs w:val="21"/>
          <w:lang w:eastAsia="ru-RU"/>
          <w14:ligatures w14:val="none"/>
        </w:rPr>
        <w:br/>
        <w:t>Согласован:</w:t>
      </w:r>
      <w:r w:rsidRPr="0054749A">
        <w:rPr>
          <w:rFonts w:ascii="Helvetica" w:eastAsia="Times New Roman" w:hAnsi="Helvetica" w:cs="Times New Roman"/>
          <w:color w:val="333333"/>
          <w:kern w:val="0"/>
          <w:sz w:val="21"/>
          <w:szCs w:val="21"/>
          <w:lang w:eastAsia="ru-RU"/>
          <w14:ligatures w14:val="none"/>
        </w:rPr>
        <w:br/>
        <w:t>Государственная сужба охраны труда</w:t>
      </w:r>
      <w:r w:rsidRPr="0054749A">
        <w:rPr>
          <w:rFonts w:ascii="Helvetica" w:eastAsia="Times New Roman" w:hAnsi="Helvetica" w:cs="Times New Roman"/>
          <w:color w:val="333333"/>
          <w:kern w:val="0"/>
          <w:sz w:val="21"/>
          <w:szCs w:val="21"/>
          <w:lang w:eastAsia="ru-RU"/>
          <w14:ligatures w14:val="none"/>
        </w:rPr>
        <w:br/>
        <w:t>и промышленной безопасности</w:t>
      </w:r>
      <w:r w:rsidRPr="0054749A">
        <w:rPr>
          <w:rFonts w:ascii="Helvetica" w:eastAsia="Times New Roman" w:hAnsi="Helvetica" w:cs="Times New Roman"/>
          <w:color w:val="333333"/>
          <w:kern w:val="0"/>
          <w:sz w:val="21"/>
          <w:szCs w:val="21"/>
          <w:lang w:eastAsia="ru-RU"/>
          <w14:ligatures w14:val="none"/>
        </w:rPr>
        <w:br/>
        <w:t>Министерство природных ресурсов</w:t>
      </w:r>
      <w:r w:rsidRPr="0054749A">
        <w:rPr>
          <w:rFonts w:ascii="Helvetica" w:eastAsia="Times New Roman" w:hAnsi="Helvetica" w:cs="Times New Roman"/>
          <w:color w:val="333333"/>
          <w:kern w:val="0"/>
          <w:sz w:val="21"/>
          <w:szCs w:val="21"/>
          <w:lang w:eastAsia="ru-RU"/>
          <w14:ligatures w14:val="none"/>
        </w:rPr>
        <w:br/>
        <w:t>и экологического контроля</w:t>
      </w:r>
      <w:r w:rsidRPr="0054749A">
        <w:rPr>
          <w:rFonts w:ascii="Helvetica" w:eastAsia="Times New Roman" w:hAnsi="Helvetica" w:cs="Times New Roman"/>
          <w:color w:val="333333"/>
          <w:kern w:val="0"/>
          <w:sz w:val="21"/>
          <w:szCs w:val="21"/>
          <w:lang w:eastAsia="ru-RU"/>
          <w14:ligatures w14:val="none"/>
        </w:rPr>
        <w:br/>
        <w:t>Министерство промышленности</w:t>
      </w:r>
      <w:r w:rsidRPr="0054749A">
        <w:rPr>
          <w:rFonts w:ascii="Helvetica" w:eastAsia="Times New Roman" w:hAnsi="Helvetica" w:cs="Times New Roman"/>
          <w:color w:val="333333"/>
          <w:kern w:val="0"/>
          <w:sz w:val="21"/>
          <w:szCs w:val="21"/>
          <w:lang w:eastAsia="ru-RU"/>
          <w14:ligatures w14:val="none"/>
        </w:rPr>
        <w:br/>
      </w:r>
      <w:r w:rsidRPr="0054749A">
        <w:rPr>
          <w:rFonts w:ascii="Helvetica" w:eastAsia="Times New Roman" w:hAnsi="Helvetica" w:cs="Times New Roman"/>
          <w:color w:val="333333"/>
          <w:kern w:val="0"/>
          <w:sz w:val="21"/>
          <w:szCs w:val="21"/>
          <w:lang w:eastAsia="ru-RU"/>
          <w14:ligatures w14:val="none"/>
        </w:rPr>
        <w:br/>
        <w:t>Зарегистрирован Министерством юстиции</w:t>
      </w:r>
      <w:r w:rsidRPr="0054749A">
        <w:rPr>
          <w:rFonts w:ascii="Helvetica" w:eastAsia="Times New Roman" w:hAnsi="Helvetica" w:cs="Times New Roman"/>
          <w:color w:val="333333"/>
          <w:kern w:val="0"/>
          <w:sz w:val="21"/>
          <w:szCs w:val="21"/>
          <w:lang w:eastAsia="ru-RU"/>
          <w14:ligatures w14:val="none"/>
        </w:rPr>
        <w:br/>
        <w:t>Приднестровской Молдавской Республики 16 апреля 2008 г.</w:t>
      </w:r>
      <w:r w:rsidRPr="0054749A">
        <w:rPr>
          <w:rFonts w:ascii="Helvetica" w:eastAsia="Times New Roman" w:hAnsi="Helvetica" w:cs="Times New Roman"/>
          <w:color w:val="333333"/>
          <w:kern w:val="0"/>
          <w:sz w:val="21"/>
          <w:szCs w:val="21"/>
          <w:lang w:eastAsia="ru-RU"/>
          <w14:ligatures w14:val="none"/>
        </w:rPr>
        <w:br/>
        <w:t>Регистрационный N 4397</w:t>
      </w:r>
    </w:p>
    <w:p w14:paraId="3B55F7DD" w14:textId="77777777" w:rsidR="0054749A" w:rsidRDefault="0054749A" w:rsidP="0054749A">
      <w:pPr>
        <w:shd w:val="clear" w:color="auto" w:fill="FFFFFF"/>
        <w:spacing w:after="0" w:line="240" w:lineRule="auto"/>
        <w:ind w:firstLine="360"/>
        <w:jc w:val="center"/>
        <w:rPr>
          <w:rFonts w:eastAsia="Times New Roman" w:cs="Times New Roman"/>
          <w:color w:val="333333"/>
          <w:kern w:val="0"/>
          <w:sz w:val="21"/>
          <w:szCs w:val="21"/>
          <w:lang w:eastAsia="ru-RU"/>
          <w14:ligatures w14:val="none"/>
        </w:rPr>
      </w:pPr>
    </w:p>
    <w:p w14:paraId="62FBCDE1" w14:textId="3DEB5400" w:rsidR="0054749A" w:rsidRPr="0054749A" w:rsidRDefault="0054749A" w:rsidP="0054749A">
      <w:pPr>
        <w:shd w:val="clear" w:color="auto" w:fill="FFFFFF"/>
        <w:spacing w:after="0" w:line="240" w:lineRule="auto"/>
        <w:ind w:firstLine="360"/>
        <w:jc w:val="center"/>
        <w:rPr>
          <w:rFonts w:ascii="Times New Roman" w:eastAsia="Times New Roman" w:hAnsi="Times New Roman" w:cs="Times New Roman"/>
          <w:kern w:val="0"/>
          <w:sz w:val="24"/>
          <w:szCs w:val="24"/>
          <w:lang w:eastAsia="ru-RU"/>
          <w14:ligatures w14:val="none"/>
        </w:rPr>
      </w:pPr>
      <w:r w:rsidRPr="0054749A">
        <w:rPr>
          <w:rFonts w:eastAsia="Times New Roman" w:cs="Times New Roman"/>
          <w:b/>
          <w:bCs/>
          <w:color w:val="333333"/>
          <w:kern w:val="0"/>
          <w:sz w:val="21"/>
          <w:szCs w:val="21"/>
          <w:u w:val="single"/>
          <w:lang w:eastAsia="ru-RU"/>
          <w14:ligatures w14:val="none"/>
        </w:rPr>
        <w:t xml:space="preserve">Редакция на </w:t>
      </w:r>
      <w:r w:rsidRPr="0054749A">
        <w:rPr>
          <w:rFonts w:eastAsia="Times New Roman" w:cs="Times New Roman"/>
          <w:b/>
          <w:bCs/>
          <w:color w:val="333333"/>
          <w:kern w:val="0"/>
          <w:sz w:val="21"/>
          <w:szCs w:val="21"/>
          <w:u w:val="single"/>
          <w:lang w:eastAsia="ru-RU"/>
          <w14:ligatures w14:val="none"/>
        </w:rPr>
        <w:t>7 марта 2025 г.</w:t>
      </w:r>
      <w:r w:rsidRPr="0054749A">
        <w:rPr>
          <w:rFonts w:ascii="Helvetica" w:eastAsia="Times New Roman" w:hAnsi="Helvetica" w:cs="Times New Roman"/>
          <w:color w:val="333333"/>
          <w:kern w:val="0"/>
          <w:sz w:val="21"/>
          <w:szCs w:val="21"/>
          <w:lang w:eastAsia="ru-RU"/>
          <w14:ligatures w14:val="none"/>
        </w:rPr>
        <w:br/>
      </w:r>
    </w:p>
    <w:p w14:paraId="7B15A295" w14:textId="608E1FC8" w:rsidR="0054749A" w:rsidRPr="0054749A" w:rsidRDefault="0054749A" w:rsidP="0054749A">
      <w:pPr>
        <w:shd w:val="clear" w:color="auto" w:fill="FFFFFF"/>
        <w:spacing w:after="0" w:line="240" w:lineRule="auto"/>
        <w:ind w:firstLine="360"/>
        <w:jc w:val="both"/>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t>В соответствии со статьей 3 Закона Приднестровской Молдавской Республики от 7 июня 1996 года N 7-З "О санитарно-профилактическом и эколого-гигиеническом обеспечении здоровья населения" (СЗМР 96-2), с изменением, внесенным Законом Приднестровской Молдавской Республики от 27 января 2000 года N 237-ЗИ (СЗМР 00-1), в целях дальнейшего совершенствования санитарно-гигиенического обеспечения населения Приднестровской Молдавской Республики,</w:t>
      </w:r>
      <w:r>
        <w:rPr>
          <w:rFonts w:eastAsia="Times New Roman" w:cs="Times New Roman"/>
          <w:color w:val="333333"/>
          <w:kern w:val="0"/>
          <w:sz w:val="21"/>
          <w:szCs w:val="21"/>
          <w:lang w:eastAsia="ru-RU"/>
          <w14:ligatures w14:val="none"/>
        </w:rPr>
        <w:t xml:space="preserve"> </w:t>
      </w:r>
      <w:r w:rsidRPr="0054749A">
        <w:rPr>
          <w:rFonts w:ascii="Helvetica" w:eastAsia="Times New Roman" w:hAnsi="Helvetica" w:cs="Times New Roman"/>
          <w:color w:val="333333"/>
          <w:kern w:val="0"/>
          <w:sz w:val="21"/>
          <w:szCs w:val="21"/>
          <w:lang w:eastAsia="ru-RU"/>
          <w14:ligatures w14:val="none"/>
        </w:rPr>
        <w:t>приказываю:</w:t>
      </w:r>
    </w:p>
    <w:p w14:paraId="080B25F1"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1. Ввести в действие на территории Приднестровской Молдавской Республики санитарно-эпидемиологические правила и нормативы СанПиН МЗ и СЗ ПМР 2.1.7.1038-08 "Гигиенические требования к устройству и содержанию полигонов для твердых бытовых отходов" (приложение).</w:t>
      </w:r>
    </w:p>
    <w:p w14:paraId="2EBB531D"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2. Считать утратившими силу подпункт "я-2" пункта 1 Приказа Министерства здравоохранения и социальной защиты Приднестровской Молдавской от 15 января 2004 года N 17 "О введении в действие санитарно-эпидемиологических правил и нормативных документов на территории Приднестровской Молдавской Республики" (регистрационный N 2585 от 3 февраля 2004года) (САЗ 04-6).</w:t>
      </w:r>
    </w:p>
    <w:p w14:paraId="63703ABA"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3. Настоящий Приказ вступает в силу с 1 июня 2008 года.</w:t>
      </w:r>
    </w:p>
    <w:p w14:paraId="6389DE70"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p>
    <w:p w14:paraId="7265D78A" w14:textId="00F81FA2" w:rsidR="0054749A" w:rsidRPr="0054749A" w:rsidRDefault="0054749A" w:rsidP="0054749A">
      <w:pPr>
        <w:shd w:val="clear" w:color="auto" w:fill="FFFFFF"/>
        <w:spacing w:after="0" w:line="240" w:lineRule="auto"/>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И.ТКАЧЕНКО</w:t>
      </w:r>
      <w:r>
        <w:rPr>
          <w:rFonts w:eastAsia="Times New Roman" w:cs="Times New Roman"/>
          <w:color w:val="333333"/>
          <w:kern w:val="0"/>
          <w:sz w:val="21"/>
          <w:szCs w:val="21"/>
          <w:lang w:eastAsia="ru-RU"/>
          <w14:ligatures w14:val="none"/>
        </w:rPr>
        <w:t xml:space="preserve">                                           </w:t>
      </w:r>
      <w:r w:rsidRPr="0054749A">
        <w:rPr>
          <w:rFonts w:ascii="Helvetica" w:eastAsia="Times New Roman" w:hAnsi="Helvetica" w:cs="Times New Roman"/>
          <w:color w:val="333333"/>
          <w:kern w:val="0"/>
          <w:sz w:val="21"/>
          <w:szCs w:val="21"/>
          <w:lang w:eastAsia="ru-RU"/>
          <w14:ligatures w14:val="none"/>
        </w:rPr>
        <w:t>МИНИСТР</w:t>
      </w:r>
    </w:p>
    <w:p w14:paraId="480AD027"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0945FAF3" w14:textId="77777777" w:rsidR="0054749A" w:rsidRDefault="0054749A" w:rsidP="0054749A">
      <w:pPr>
        <w:shd w:val="clear" w:color="auto" w:fill="FFFFFF"/>
        <w:spacing w:after="0" w:line="240" w:lineRule="auto"/>
        <w:ind w:firstLine="360"/>
        <w:rPr>
          <w:rFonts w:eastAsia="Times New Roman"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г. Тирасполь</w:t>
      </w:r>
      <w:r w:rsidRPr="0054749A">
        <w:rPr>
          <w:rFonts w:ascii="Helvetica" w:eastAsia="Times New Roman" w:hAnsi="Helvetica" w:cs="Times New Roman"/>
          <w:color w:val="333333"/>
          <w:kern w:val="0"/>
          <w:sz w:val="21"/>
          <w:szCs w:val="21"/>
          <w:lang w:eastAsia="ru-RU"/>
          <w14:ligatures w14:val="none"/>
        </w:rPr>
        <w:br/>
        <w:t>12 февраля 2008 г.</w:t>
      </w:r>
      <w:r w:rsidRPr="0054749A">
        <w:rPr>
          <w:rFonts w:ascii="Helvetica" w:eastAsia="Times New Roman" w:hAnsi="Helvetica" w:cs="Times New Roman"/>
          <w:color w:val="333333"/>
          <w:kern w:val="0"/>
          <w:sz w:val="21"/>
          <w:szCs w:val="21"/>
          <w:lang w:eastAsia="ru-RU"/>
          <w14:ligatures w14:val="none"/>
        </w:rPr>
        <w:br/>
        <w:t>N 97</w:t>
      </w:r>
    </w:p>
    <w:p w14:paraId="3517731D" w14:textId="77777777" w:rsidR="0054749A" w:rsidRDefault="0054749A" w:rsidP="0054749A">
      <w:pPr>
        <w:shd w:val="clear" w:color="auto" w:fill="FFFFFF"/>
        <w:spacing w:after="0" w:line="240" w:lineRule="auto"/>
        <w:ind w:firstLine="360"/>
        <w:jc w:val="right"/>
        <w:rPr>
          <w:rFonts w:eastAsia="Times New Roman"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br/>
      </w:r>
      <w:r w:rsidRPr="0054749A">
        <w:rPr>
          <w:rFonts w:ascii="Helvetica" w:eastAsia="Times New Roman" w:hAnsi="Helvetica" w:cs="Times New Roman"/>
          <w:color w:val="333333"/>
          <w:kern w:val="0"/>
          <w:sz w:val="21"/>
          <w:szCs w:val="21"/>
          <w:lang w:eastAsia="ru-RU"/>
          <w14:ligatures w14:val="none"/>
        </w:rPr>
        <w:br/>
        <w:t>Приложение</w:t>
      </w:r>
      <w:r>
        <w:rPr>
          <w:rFonts w:eastAsia="Times New Roman" w:cs="Times New Roman"/>
          <w:color w:val="333333"/>
          <w:kern w:val="0"/>
          <w:sz w:val="21"/>
          <w:szCs w:val="21"/>
          <w:lang w:eastAsia="ru-RU"/>
          <w14:ligatures w14:val="none"/>
        </w:rPr>
        <w:t xml:space="preserve"> </w:t>
      </w:r>
      <w:r w:rsidRPr="0054749A">
        <w:rPr>
          <w:rFonts w:ascii="Helvetica" w:eastAsia="Times New Roman" w:hAnsi="Helvetica" w:cs="Times New Roman"/>
          <w:color w:val="333333"/>
          <w:kern w:val="0"/>
          <w:sz w:val="21"/>
          <w:szCs w:val="21"/>
          <w:lang w:eastAsia="ru-RU"/>
          <w14:ligatures w14:val="none"/>
        </w:rPr>
        <w:t xml:space="preserve">к приказу </w:t>
      </w:r>
    </w:p>
    <w:p w14:paraId="75288330" w14:textId="5FA7E1B2" w:rsidR="0054749A" w:rsidRPr="0054749A" w:rsidRDefault="0054749A" w:rsidP="0054749A">
      <w:pPr>
        <w:shd w:val="clear" w:color="auto" w:fill="FFFFFF"/>
        <w:spacing w:after="0" w:line="240" w:lineRule="auto"/>
        <w:ind w:firstLine="360"/>
        <w:jc w:val="right"/>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t>Министра здравоохранения</w:t>
      </w:r>
      <w:r w:rsidRPr="0054749A">
        <w:rPr>
          <w:rFonts w:ascii="Helvetica" w:eastAsia="Times New Roman" w:hAnsi="Helvetica" w:cs="Times New Roman"/>
          <w:color w:val="333333"/>
          <w:kern w:val="0"/>
          <w:sz w:val="21"/>
          <w:szCs w:val="21"/>
          <w:lang w:eastAsia="ru-RU"/>
          <w14:ligatures w14:val="none"/>
        </w:rPr>
        <w:br/>
      </w:r>
      <w:r>
        <w:rPr>
          <w:rFonts w:eastAsia="Times New Roman" w:cs="Times New Roman"/>
          <w:color w:val="333333"/>
          <w:kern w:val="0"/>
          <w:sz w:val="21"/>
          <w:szCs w:val="21"/>
          <w:lang w:eastAsia="ru-RU"/>
          <w14:ligatures w14:val="none"/>
        </w:rPr>
        <w:t xml:space="preserve"> </w:t>
      </w:r>
      <w:r w:rsidRPr="0054749A">
        <w:rPr>
          <w:rFonts w:ascii="Helvetica" w:eastAsia="Times New Roman" w:hAnsi="Helvetica" w:cs="Times New Roman"/>
          <w:color w:val="333333"/>
          <w:kern w:val="0"/>
          <w:sz w:val="21"/>
          <w:szCs w:val="21"/>
          <w:lang w:eastAsia="ru-RU"/>
          <w14:ligatures w14:val="none"/>
        </w:rPr>
        <w:t>Приднестровской Молдавской Республики</w:t>
      </w:r>
      <w:r w:rsidRPr="0054749A">
        <w:rPr>
          <w:rFonts w:ascii="Helvetica" w:eastAsia="Times New Roman" w:hAnsi="Helvetica" w:cs="Times New Roman"/>
          <w:color w:val="333333"/>
          <w:kern w:val="0"/>
          <w:sz w:val="21"/>
          <w:szCs w:val="21"/>
          <w:lang w:eastAsia="ru-RU"/>
          <w14:ligatures w14:val="none"/>
        </w:rPr>
        <w:br/>
        <w:t>от 12 февраля 2008 г. N 97</w:t>
      </w:r>
      <w:r w:rsidRPr="0054749A">
        <w:rPr>
          <w:rFonts w:ascii="Helvetica" w:eastAsia="Times New Roman" w:hAnsi="Helvetica" w:cs="Times New Roman"/>
          <w:color w:val="333333"/>
          <w:kern w:val="0"/>
          <w:sz w:val="21"/>
          <w:szCs w:val="21"/>
          <w:lang w:eastAsia="ru-RU"/>
          <w14:ligatures w14:val="none"/>
        </w:rPr>
        <w:br/>
      </w:r>
    </w:p>
    <w:p w14:paraId="2E3DB084" w14:textId="468A526A" w:rsidR="0054749A" w:rsidRPr="0054749A" w:rsidRDefault="0054749A" w:rsidP="0054749A">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САНИТАРНО-ЭПИДЕМИОЛОГИЧЕСКИЕ ПРАВИЛА И НОРМАТИВЫ</w:t>
      </w:r>
      <w:r w:rsidRPr="0054749A">
        <w:rPr>
          <w:rFonts w:ascii="Helvetica" w:eastAsia="Times New Roman" w:hAnsi="Helvetica" w:cs="Times New Roman"/>
          <w:color w:val="333333"/>
          <w:kern w:val="0"/>
          <w:sz w:val="21"/>
          <w:szCs w:val="21"/>
          <w:lang w:eastAsia="ru-RU"/>
          <w14:ligatures w14:val="none"/>
        </w:rPr>
        <w:br/>
      </w:r>
      <w:r w:rsidRPr="0054749A">
        <w:rPr>
          <w:rFonts w:ascii="Helvetica" w:eastAsia="Times New Roman" w:hAnsi="Helvetica" w:cs="Times New Roman"/>
          <w:color w:val="333333"/>
          <w:kern w:val="0"/>
          <w:sz w:val="21"/>
          <w:szCs w:val="21"/>
          <w:lang w:eastAsia="ru-RU"/>
          <w14:ligatures w14:val="none"/>
        </w:rPr>
        <w:br/>
        <w:t>СанПиН МЗ и СЗ ПМР 2.1.7.1038-08</w:t>
      </w:r>
      <w:r w:rsidRPr="0054749A">
        <w:rPr>
          <w:rFonts w:ascii="Helvetica" w:eastAsia="Times New Roman" w:hAnsi="Helvetica" w:cs="Times New Roman"/>
          <w:color w:val="333333"/>
          <w:kern w:val="0"/>
          <w:sz w:val="21"/>
          <w:szCs w:val="21"/>
          <w:lang w:eastAsia="ru-RU"/>
          <w14:ligatures w14:val="none"/>
        </w:rPr>
        <w:br/>
      </w:r>
      <w:r w:rsidRPr="0054749A">
        <w:rPr>
          <w:rFonts w:ascii="Helvetica" w:eastAsia="Times New Roman" w:hAnsi="Helvetica" w:cs="Times New Roman"/>
          <w:color w:val="333333"/>
          <w:kern w:val="0"/>
          <w:sz w:val="21"/>
          <w:szCs w:val="21"/>
          <w:lang w:eastAsia="ru-RU"/>
          <w14:ligatures w14:val="none"/>
        </w:rPr>
        <w:br/>
        <w:t>"Гигиенические требования к устройству и содержанию</w:t>
      </w:r>
      <w:r w:rsidRPr="0054749A">
        <w:rPr>
          <w:rFonts w:ascii="Helvetica" w:eastAsia="Times New Roman" w:hAnsi="Helvetica" w:cs="Times New Roman"/>
          <w:color w:val="333333"/>
          <w:kern w:val="0"/>
          <w:sz w:val="21"/>
          <w:szCs w:val="21"/>
          <w:lang w:eastAsia="ru-RU"/>
          <w14:ligatures w14:val="none"/>
        </w:rPr>
        <w:br/>
      </w:r>
      <w:r w:rsidRPr="0054749A">
        <w:rPr>
          <w:rFonts w:ascii="Helvetica" w:eastAsia="Times New Roman" w:hAnsi="Helvetica" w:cs="Times New Roman"/>
          <w:color w:val="333333"/>
          <w:kern w:val="0"/>
          <w:sz w:val="21"/>
          <w:szCs w:val="21"/>
          <w:lang w:eastAsia="ru-RU"/>
          <w14:ligatures w14:val="none"/>
        </w:rPr>
        <w:lastRenderedPageBreak/>
        <w:t>полигонов для твердых бытовых отходов"</w:t>
      </w:r>
      <w:r w:rsidRPr="0054749A">
        <w:rPr>
          <w:rFonts w:ascii="Helvetica" w:eastAsia="Times New Roman" w:hAnsi="Helvetica" w:cs="Times New Roman"/>
          <w:color w:val="333333"/>
          <w:kern w:val="0"/>
          <w:sz w:val="21"/>
          <w:szCs w:val="21"/>
          <w:lang w:eastAsia="ru-RU"/>
          <w14:ligatures w14:val="none"/>
        </w:rPr>
        <w:br/>
      </w:r>
      <w:r w:rsidRPr="0054749A">
        <w:rPr>
          <w:rFonts w:ascii="Helvetica" w:eastAsia="Times New Roman" w:hAnsi="Helvetica" w:cs="Times New Roman"/>
          <w:color w:val="333333"/>
          <w:kern w:val="0"/>
          <w:sz w:val="21"/>
          <w:szCs w:val="21"/>
          <w:lang w:eastAsia="ru-RU"/>
          <w14:ligatures w14:val="none"/>
        </w:rPr>
        <w:br/>
        <w:t>1. Область применения и общие положения</w:t>
      </w:r>
    </w:p>
    <w:p w14:paraId="0FA976F9" w14:textId="734550B3"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p>
    <w:p w14:paraId="7345D8B7" w14:textId="74A82FF9" w:rsidR="0054749A" w:rsidRPr="0054749A" w:rsidRDefault="00863A23" w:rsidP="00863A23">
      <w:pPr>
        <w:shd w:val="clear" w:color="auto" w:fill="FFFFFF"/>
        <w:spacing w:after="0" w:line="240" w:lineRule="auto"/>
        <w:ind w:firstLine="360"/>
        <w:jc w:val="both"/>
        <w:rPr>
          <w:rFonts w:eastAsia="Times New Roman" w:cs="Times New Roman"/>
          <w:color w:val="333333"/>
          <w:kern w:val="0"/>
          <w:sz w:val="21"/>
          <w:szCs w:val="21"/>
          <w:lang w:eastAsia="ru-RU"/>
          <w14:ligatures w14:val="none"/>
        </w:rPr>
      </w:pPr>
      <w:r w:rsidRPr="00863A23">
        <w:rPr>
          <w:rFonts w:ascii="Helvetica" w:eastAsia="Times New Roman" w:hAnsi="Helvetica" w:cs="Times New Roman"/>
          <w:color w:val="333333"/>
          <w:kern w:val="0"/>
          <w:sz w:val="21"/>
          <w:szCs w:val="21"/>
          <w:lang w:eastAsia="ru-RU"/>
          <w14:ligatures w14:val="none"/>
        </w:rPr>
        <w:t>1. Настоящие санитарно-эпидемиологические правила и нормативы (далее – санитарные правила) устанавливают гигиенические требования к устройству, содержанию и эксплуатации полигонов для твердых бытовых отходов.</w:t>
      </w:r>
    </w:p>
    <w:p w14:paraId="5997CF67"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2. Требования настоящих санитарных правил являются обязательными для соблюдения гражданами, индивидуальными предпринимателями и юридическими лицами, деятельность которых связана с проектированием и эксплуатацией полигонов для твердых бытовых отходов.</w:t>
      </w:r>
    </w:p>
    <w:p w14:paraId="2FFC840D"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3. Государственный санитарно-эпидемиологический контроль (надзор) за выполнением настоящих санитарных правил осуществляют органы государственной санитарно-эпидемиологической службы Приднестровской Молдавской Республики.</w:t>
      </w:r>
    </w:p>
    <w:p w14:paraId="0562B434"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4. Полигоны твердых бытовых отходов (далее - ТБО) являются специальными сооружениями, предназначенными для изоляции и захоронения ТБО, и должны гарантировать санитарно-эпидемиологическую безопасность населения. На полигонах обеспечивается статическая устойчивость ТБО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Полигоны могут быть организованы для любых по величине населенных пунктов. Рекомендуется создание централизованных полигонов для групп населенных пунктов.</w:t>
      </w:r>
    </w:p>
    <w:p w14:paraId="36A7DB53"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5. Выбранный участок для устройства полигона должен иметь санитарно-эпидемиологическое заключение о соответствии его санитарным правилам.</w:t>
      </w:r>
    </w:p>
    <w:p w14:paraId="6095CDFA"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6. Организацией, эксплуатирующей полигон, разрабатывается регламент и режим работы полигона, инструкции по приему бытовых отходов, с учетом требований производственной санитарии для работающих на полигоне, обеспечивается контроль за количественным и качественным составом поступающих отходов, ведется круглосуточный учет поступающих отходов с занесением данных в журнал учета установленной формы, осуществляется контроль за распределением отходов в работающей части полигона, обеспечивается технологический цикл по изоляции отходов.</w:t>
      </w:r>
    </w:p>
    <w:p w14:paraId="6E0BCCF4" w14:textId="39B1FEB8" w:rsidR="0054749A" w:rsidRPr="0054749A" w:rsidRDefault="0054749A" w:rsidP="0024354D">
      <w:pPr>
        <w:shd w:val="clear" w:color="auto" w:fill="FFFFFF"/>
        <w:spacing w:after="0" w:line="240" w:lineRule="auto"/>
        <w:ind w:firstLine="360"/>
        <w:jc w:val="both"/>
        <w:rPr>
          <w:rFonts w:eastAsia="Times New Roman"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 xml:space="preserve">7. На полигоны твердых бытовых отходов принимаются отходы организаций социально-культурного и бытового назначения, бытовые отходы предприятий промышленного назначения, смет с территории населенного пункта, а также нетоксичные промышленные отходы 3-4 класса опасности, список которых согласовывается с </w:t>
      </w:r>
      <w:r w:rsidR="0024354D" w:rsidRPr="0024354D">
        <w:rPr>
          <w:rFonts w:ascii="Helvetica" w:eastAsia="Times New Roman" w:hAnsi="Helvetica" w:cs="Times New Roman"/>
          <w:color w:val="333333"/>
          <w:kern w:val="0"/>
          <w:sz w:val="21"/>
          <w:szCs w:val="21"/>
          <w:lang w:eastAsia="ru-RU"/>
          <w14:ligatures w14:val="none"/>
        </w:rPr>
        <w:t>органами и учреждениями Государственной санитарно-эпидемиологической службы Приднестровской Молдавской Республики (далее – орган государственной санитарно-эпидемиологической службы) и уполномоченным Правительством Приднестровской Молдавской Республики исполнительным органом государственной власти в сфере экологии (далее – уполномоченный орган в сфере экологии)</w:t>
      </w:r>
      <w:r w:rsidRPr="0054749A">
        <w:rPr>
          <w:rFonts w:ascii="Helvetica" w:eastAsia="Times New Roman" w:hAnsi="Helvetica" w:cs="Times New Roman"/>
          <w:color w:val="333333"/>
          <w:kern w:val="0"/>
          <w:sz w:val="21"/>
          <w:szCs w:val="21"/>
          <w:lang w:eastAsia="ru-RU"/>
          <w14:ligatures w14:val="none"/>
        </w:rPr>
        <w:t>. Список таких отходов согласовывается с территориальным органом государственной санитарно-эпидемиологической службы Приднестровской Молдавской Республики. На полигоны ТБО не допускается прием жидких бытовых и производственных отходов.</w:t>
      </w:r>
    </w:p>
    <w:p w14:paraId="55C2A460"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8. Размещение и обезвреживание твердых, жидких и пастообразных отходов, обладающих радиоактивностью, осуществляется на специальных полигонах, организованных в соответствии с основными санитарными правилами обеспечения радиационной безопасности.</w:t>
      </w:r>
    </w:p>
    <w:p w14:paraId="2728DAE8"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9. Захоронение и обезвреживание твердых, пастообразных отходов промышленных организаций (1 - 2 класса опасности), в которых содержатся токсичные вещества, тяжелые металлы, а также горючие и взрывоопасные отходы, должно производиться на полигонах, организованных в соответствии с санитарными правилами о порядке накопления, транспортировки, обезвреживания и захоронения токсичных промышленных отходов.</w:t>
      </w:r>
    </w:p>
    <w:p w14:paraId="6562BC90"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10. Прием трупов павших животных, конфискатов боен мясокомбинатов на полигоны твердых бытовых отходов не допускается.</w:t>
      </w:r>
    </w:p>
    <w:p w14:paraId="17E8C8B1"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11. На полигоны твердых бытовых отходов осуществляется прием твердых отходов лечебно-профилактических организаций (далее - ЛПО) в соответствии с правилами сбора, хранения и удаления отходов лечебно-профилактических организаций.</w:t>
      </w:r>
    </w:p>
    <w:p w14:paraId="5867E2C0"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12. На полигонах не разрешается сбор вторичного сырья непосредственно из мусоровозного транспорта. Сортировка и селективный сбор отходов допускаются при соблюдении санитарно-гигиенических требований.</w:t>
      </w:r>
    </w:p>
    <w:p w14:paraId="2472BF49"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 xml:space="preserve">13. Территориальный орган государственной санитарно-эпидемиологической службы осуществляет санитарный контроль (надзор) за устройством и эксплуатацией полигонов в соответствии с ежегодными графиками работы, руководствуясь настоящими правилами, а также утвержденными гигиеническими нормативами (предельно ? допустимыми </w:t>
      </w:r>
      <w:r w:rsidRPr="0054749A">
        <w:rPr>
          <w:rFonts w:ascii="Helvetica" w:eastAsia="Times New Roman" w:hAnsi="Helvetica" w:cs="Times New Roman"/>
          <w:color w:val="333333"/>
          <w:kern w:val="0"/>
          <w:sz w:val="21"/>
          <w:szCs w:val="21"/>
          <w:lang w:eastAsia="ru-RU"/>
          <w14:ligatures w14:val="none"/>
        </w:rPr>
        <w:lastRenderedPageBreak/>
        <w:t>концентрациями (далее - ПДК) для химических веществ в почве и оценочными показателями санитарного состояния почвы; дает заключение об использовании территории бывшего полигона.</w:t>
      </w:r>
    </w:p>
    <w:p w14:paraId="61211DB2"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4E7D2F1F" w14:textId="77777777" w:rsidR="0054749A" w:rsidRPr="0054749A" w:rsidRDefault="0054749A" w:rsidP="0054749A">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2. Гигиенические требования к размещению полигонов</w:t>
      </w:r>
      <w:r w:rsidRPr="0054749A">
        <w:rPr>
          <w:rFonts w:ascii="Helvetica" w:eastAsia="Times New Roman" w:hAnsi="Helvetica" w:cs="Times New Roman"/>
          <w:color w:val="333333"/>
          <w:kern w:val="0"/>
          <w:sz w:val="21"/>
          <w:szCs w:val="21"/>
          <w:lang w:eastAsia="ru-RU"/>
          <w14:ligatures w14:val="none"/>
        </w:rPr>
        <w:br/>
        <w:t>твердых бытовых отходов</w:t>
      </w:r>
    </w:p>
    <w:p w14:paraId="3385A2F6"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28C98405"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14.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Не допускается размещение полигонов на территории зон санитарной охраны водоисточников и минеральных источников; во всех зонах охраны курортов; в местах выхода на поверхность трещиноватых пород; в местах выклинивания водоносных горизонтов, а также в местах массового отдыха населения и оздоровительных организаций.</w:t>
      </w:r>
    </w:p>
    <w:p w14:paraId="55DA86B0"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15. Размер санитарно-защитной зоны от жилой застройки до границ полигона должен составлять не менее 500 м. Кроме того, размер санитарно-защитной зоны может уточняться при расчете газообразных выбросов в атмосферу. Границы зоны устанавливаются по изолинии 1 ПДК, если она выходит из пределов нормативной зоны. Уменьшение санитарно-защитной зоны производится в установленном порядке. На участке, намеченном для размещения полигона для бытовых отходов, проводятся санитарное обследование, геологические и гидрологические изыскания. Перспективными являются места,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Целесообразно участки под полигоны выбирать с учетом наличия в санитарно-защитной зоне зеленых насаждений и земельных насыпей.</w:t>
      </w:r>
    </w:p>
    <w:p w14:paraId="3B6DE3BB"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16. Участок для устройства полигона ТБО должен отводиться в соответствии с утвержденным генеральным планом или проектом планировки и застройки города (пригородной зоны), сельского населенного пункта. Полигон для твердых бытовых отходов желательно размещать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p w14:paraId="01C655F4"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17. Санитарно-эпидемиологическое заключение о соответствии гигиеническим требованиям выбранного участка для устройства полигонов ТБО выдает территориальный орган государственной санитарно-эпидемиологической службы.</w:t>
      </w:r>
    </w:p>
    <w:p w14:paraId="30DC1D06"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18. Полигон состоит из двух взаимосвязанных территориальных частей: территория, занятая под складирование ТБО, и территория для размещения хозяйственно-бытовых объектов (далее - хозяйственная зона).</w:t>
      </w:r>
    </w:p>
    <w:p w14:paraId="07524F8B"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19. Устройство полигонов ТБО должно осуществляться в соответствии с установленным порядком по проектированию, эксплуатации и рекультивации полигонов для твердых бытовых отходов.</w:t>
      </w:r>
    </w:p>
    <w:p w14:paraId="7BC2423D"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20. По всей площади участка складирования ТБО предусматривается устройство котлована с целью получения грунта для промежуточной и окончательной изоляции уплотненных ТБО. Грунт из котлованов складируется в отвалах по периметру полигона.</w:t>
      </w:r>
    </w:p>
    <w:p w14:paraId="66740795"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21. С учетом объема годовых атмосферных осадков, испарительной способности почв и влажности складируемых ТБО учитывается возможность образования в их толще жидкой фазы - фильтрата.</w:t>
      </w:r>
    </w:p>
    <w:p w14:paraId="0C53CEDA"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22. Для полигонов, принимающих менее 120 тысяч м3 ТБО в год, рекомендуется траншейная схема складирования ТБО. Траншеи устраиваются перпендикулярно направлению господствующих ветров, что препятствует разносу ТБО. Грунт, полученный от рытья траншей, используется для их засыпки после заполнения ТБО.</w:t>
      </w:r>
    </w:p>
    <w:p w14:paraId="06332E02"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23. Основание (днище) траншеи в климатических зонах, где возможно образование фильтрата, должно быть не менее, чем на 0,5 м заглублено в глинистые грунты.</w:t>
      </w:r>
    </w:p>
    <w:p w14:paraId="7478A7AA"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24. Длина одной траншеи должна устраиваться с учетом времени заполнения траншей:</w:t>
      </w:r>
    </w:p>
    <w:p w14:paraId="53C513A7"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а) в период температур выше 0°С - в течение 1 - 2 месяцев;</w:t>
      </w:r>
    </w:p>
    <w:p w14:paraId="4A8FC0EA"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б) в период температур ниже 0°С - на весь период промерзания грунтов.</w:t>
      </w:r>
    </w:p>
    <w:p w14:paraId="07E8A348"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 xml:space="preserve">25. Складирование ТБО в воду на болотистых и заливаемых паводковыми водами участках не допускается. До использования таких участков под полигон ТБО на них должна устраиваться подсыпка инертными материалами на высоту, превышающую на 1 м максимальный уровень </w:t>
      </w:r>
      <w:r w:rsidRPr="0054749A">
        <w:rPr>
          <w:rFonts w:ascii="Helvetica" w:eastAsia="Times New Roman" w:hAnsi="Helvetica" w:cs="Times New Roman"/>
          <w:color w:val="333333"/>
          <w:kern w:val="0"/>
          <w:sz w:val="21"/>
          <w:szCs w:val="21"/>
          <w:lang w:eastAsia="ru-RU"/>
          <w14:ligatures w14:val="none"/>
        </w:rPr>
        <w:lastRenderedPageBreak/>
        <w:t>поверхностных или паводковых вод. При подсыпке устраивается водоупорный экран. При наличии грунтовых вод на глубине менее 1 м на поверхность наносится изолирующий слой с предварительным осушением грунта.</w:t>
      </w:r>
    </w:p>
    <w:p w14:paraId="02CCC592"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04C41F4D" w14:textId="77777777" w:rsidR="0054749A" w:rsidRPr="0054749A" w:rsidRDefault="0054749A" w:rsidP="0054749A">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3. Гигиенические требования к устройству</w:t>
      </w:r>
      <w:r w:rsidRPr="0054749A">
        <w:rPr>
          <w:rFonts w:ascii="Helvetica" w:eastAsia="Times New Roman" w:hAnsi="Helvetica" w:cs="Times New Roman"/>
          <w:color w:val="333333"/>
          <w:kern w:val="0"/>
          <w:sz w:val="21"/>
          <w:szCs w:val="21"/>
          <w:lang w:eastAsia="ru-RU"/>
          <w14:ligatures w14:val="none"/>
        </w:rPr>
        <w:br/>
        <w:t>хозяйственной зоны полигона ТБО</w:t>
      </w:r>
    </w:p>
    <w:p w14:paraId="72F1755C"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34303796"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26. Хозяйственная зона устраивается для размещения производственно-бытового здания для персонала, гаража или навеса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w:t>
      </w:r>
    </w:p>
    <w:p w14:paraId="38D132B6"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27. Согласно строительным нормам и правилам СНиП ПМР 30-01-02 "Градостроительство. Планировка и застройка городских и сельских поселений" в водоохранных зонах рек, озер и водохранилищ запрещается размещение полигонов для твердых бытовых отходов и неутилизированных промышленных отходов.</w:t>
      </w:r>
    </w:p>
    <w:p w14:paraId="4C9332F4"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28. Территория хозяйственной зоны бетонируется или асфальтируется, освещается, имеет легкое ограждение.</w:t>
      </w:r>
    </w:p>
    <w:p w14:paraId="46169561"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29. По требованию территориального органа государственной санитарно-эпидемиологической службы на выезде из полигона предусматривается контрольно-дезинфицирующая установка с устройством бетонной ванны для ходовой части мусоровозов, с использованием эффективных дезинфицирующих средств, зарегистрированных в установленном порядке на территории Приднестровской Молдавской Республики. Размеры ванны должны обеспечивать обработку ходовой части мусоровозов.</w:t>
      </w:r>
    </w:p>
    <w:p w14:paraId="6B6D82CD"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30. По периметру всей территории полигона ТБО устраивается легкое ограждение. Ограждение могут заменять осушительная траншея глубиной более 2 м или вал высотой не более 2 м. В ограде полигона устраивается шлагбаум у производственно-бытового здания.</w:t>
      </w:r>
    </w:p>
    <w:p w14:paraId="633FE722"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31. Минимальная освещенность рабочих карт первой очереди принимается 5 люксов.</w:t>
      </w:r>
    </w:p>
    <w:p w14:paraId="2592FC83" w14:textId="1B7EA2A6" w:rsidR="0054749A" w:rsidRPr="0054749A" w:rsidRDefault="0054749A" w:rsidP="0024354D">
      <w:pPr>
        <w:shd w:val="clear" w:color="auto" w:fill="FFFFFF"/>
        <w:spacing w:after="0" w:line="240" w:lineRule="auto"/>
        <w:ind w:firstLine="360"/>
        <w:jc w:val="both"/>
        <w:rPr>
          <w:rFonts w:eastAsia="Times New Roman"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 xml:space="preserve">32. По согласованию с </w:t>
      </w:r>
      <w:r w:rsidR="0024354D" w:rsidRPr="0024354D">
        <w:rPr>
          <w:rFonts w:ascii="Helvetica" w:eastAsia="Times New Roman" w:hAnsi="Helvetica" w:cs="Times New Roman"/>
          <w:color w:val="333333"/>
          <w:kern w:val="0"/>
          <w:sz w:val="21"/>
          <w:szCs w:val="21"/>
          <w:lang w:eastAsia="ru-RU"/>
          <w14:ligatures w14:val="none"/>
        </w:rPr>
        <w:t>уполномоченным органом в сфере экологии</w:t>
      </w:r>
      <w:r w:rsidRPr="0054749A">
        <w:rPr>
          <w:rFonts w:ascii="Helvetica" w:eastAsia="Times New Roman" w:hAnsi="Helvetica" w:cs="Times New Roman"/>
          <w:color w:val="333333"/>
          <w:kern w:val="0"/>
          <w:sz w:val="21"/>
          <w:szCs w:val="21"/>
          <w:lang w:eastAsia="ru-RU"/>
          <w14:ligatures w14:val="none"/>
        </w:rPr>
        <w:t xml:space="preserve"> и территориальным органом государственной санитарно-эпидемиологической службы в зеленой зоне полигона устраиваются контрольные скважины. Одна контрольная скважина закладывается выше полигона по потоку грунтовых вод (контроль), 1 - 2 скважины ниже полигона для учета влияния складирования ТБО на грунтовые воды.</w:t>
      </w:r>
    </w:p>
    <w:p w14:paraId="12EDFC6B"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33. К сооружениям по контролю качества грунтовых и поверхностных вод устраиваются подъезды для автотранспорта и емкости для водоотлива или откачки воды перед взятием проб.</w:t>
      </w:r>
    </w:p>
    <w:p w14:paraId="4EF94BA5"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4CD7CA50" w14:textId="77777777" w:rsidR="0054749A" w:rsidRPr="0054749A" w:rsidRDefault="0054749A" w:rsidP="0054749A">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4. Гигиенические требования к эксплуатации</w:t>
      </w:r>
      <w:r w:rsidRPr="0054749A">
        <w:rPr>
          <w:rFonts w:ascii="Helvetica" w:eastAsia="Times New Roman" w:hAnsi="Helvetica" w:cs="Times New Roman"/>
          <w:color w:val="333333"/>
          <w:kern w:val="0"/>
          <w:sz w:val="21"/>
          <w:szCs w:val="21"/>
          <w:lang w:eastAsia="ru-RU"/>
          <w14:ligatures w14:val="none"/>
        </w:rPr>
        <w:br/>
        <w:t>полигонов ТБО и их консервации</w:t>
      </w:r>
    </w:p>
    <w:p w14:paraId="0D7942F2"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0009F644"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34. Складирование ТБО допускается только на рабочей карте и в соответствии с инструкцией по проектированию, эксплуатации и рекультивации полигонов для твердых бытовых отходов. Промежуточная или окончательная изоляция уплотненного слоя ТБО должна осуществляться как правило грунтом: в летний период ежесуточно, при температуре + 5°С - не позднее трех суток со времени складирования ТБО.</w:t>
      </w:r>
    </w:p>
    <w:p w14:paraId="19393299"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35. В зимний период, в связи со сложностью разработки грунта в качестве изолирующего материала, для этих целей допускается использование нетоксичных, инертных и негорючих твердых отходов по согласованию с территориальным органом государственной санитарно-эпидемиологической службы. При сложности с добычей грунта эти же материалы могут использоваться и в летний период.</w:t>
      </w:r>
    </w:p>
    <w:p w14:paraId="4256CB49"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36. Переносные сетчатые ограждения устанавливаются как можно ближе к месту разгрузки и складирования ТБО, перпендикулярно направлению господствующих ветров, для задержки легких фракций отходов, высыпающихся при разгрузке ТБО из мусоровозов и перемещаемых бульдозерами к рабочей карте.</w:t>
      </w:r>
    </w:p>
    <w:p w14:paraId="16C17D64"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37. Регулярно, не реже одного раза в смену, отходы, задерживаемые переносными щитами, собирают и размещают по поверхности рабочей карты, уплотняют сверху изолирующим слоем грунта.</w:t>
      </w:r>
    </w:p>
    <w:p w14:paraId="17F42CBD"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38. Регулярно подлежат очистке от мусора нагорные перехватывающие обводные каналы, отводящие грунтовые и поверхностные стоки в открытые водоемы.</w:t>
      </w:r>
    </w:p>
    <w:p w14:paraId="0D65061C"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lastRenderedPageBreak/>
        <w:t>39. Один раз в десять дней силами обслуживающего персонала полигона и спецавтохозяйства проводится осмотр территории санитарно-защитной зоны и прилегающих земель к подъездной дороге, и в случае загрязнения их обеспечивается тщательная уборка и доставка мусора на рабочие карты полигона.</w:t>
      </w:r>
    </w:p>
    <w:p w14:paraId="77A82388"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40. На территории полигона не допускается сжигание ТБО, и должны быть приняты меры по недопустимости самовозгорания ТБО.</w:t>
      </w:r>
    </w:p>
    <w:p w14:paraId="0867FD90"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41. Закрытие полигона осуществляется после отсыпки его на предусмотренную высоту. На полигонах, срок эксплуатации которых менее пяти лет, допускается отсыпка в процессе на 10%, превышающая предусмотренную вертикальную отметку с учетом последующей усадки.</w:t>
      </w:r>
    </w:p>
    <w:p w14:paraId="1877392F"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42. Последний слой отходов перед закрытием полигона перекрывается окончательно наружным изолирующим слоем грунта.</w:t>
      </w:r>
    </w:p>
    <w:p w14:paraId="30D97892"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43. Устройство верхнего изолирующего слоя полигона определяется предусмотренными условиями его последующего использования при закрытии полигона.</w:t>
      </w:r>
    </w:p>
    <w:p w14:paraId="21F3513B"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44. Территории зон, используемых для создания лесопаркового комплекса в системе пригородного сельского хозяйства, в качестве горок для лыжного спорта или смотровых площадок для обозрения местности, имеют толщину наружного слоя не менее 0,6 м.</w:t>
      </w:r>
    </w:p>
    <w:p w14:paraId="0E801642"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45. Для защиты от выветривания или смыва грунта с откосов полигона необходимо озеленять их в виде террас непосредственно после укладки наружного изолирующего слоя. Выбор видов деревьев и кустарников определяется местными условиями.</w:t>
      </w:r>
    </w:p>
    <w:p w14:paraId="62E2A2F0"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46. При использовании территории бывшего полигона ТБО под открытые склады непищевого назначения толщина верхнего изолирующего слоя должна составлять не менее 1,5 м. Верхний слой отходов до их укрытия изоляцией должен быть уплотнен особенно тщательно и равномерно.</w:t>
      </w:r>
    </w:p>
    <w:p w14:paraId="2B91BD89"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47. Использование территории рекультивируемого полигона под капитальное строительство не допускается.</w:t>
      </w:r>
    </w:p>
    <w:p w14:paraId="1120FD46"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39A12B5D" w14:textId="77777777" w:rsidR="0054749A" w:rsidRPr="0054749A" w:rsidRDefault="0054749A" w:rsidP="0054749A">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5. Производственный контроль за эксплуатацией полигона ТБО</w:t>
      </w:r>
    </w:p>
    <w:p w14:paraId="77096CD1"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3FA08C8E"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48. Контроль по приему отходов на полигоны ТБО в соответствии с утвержденными инструкциями осуществляется лабораторной службой организации, которая обслуживает полигон.</w:t>
      </w:r>
    </w:p>
    <w:p w14:paraId="0D3CFC87"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49. Лабораторная служба систематически контролирует согласно утвержденному графику фракционный, морфологический и химический состав отходов, поступающих на полигон.</w:t>
      </w:r>
    </w:p>
    <w:p w14:paraId="77B091D1"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50. В соответствии с пунктом 6 настоящих санитарных правил организация, обслуживающая полигон, разрабатывает инструкцию по производственной санитарии для персонала, занятого на обеспечении работы полигона ТБО. Указанная инструкция согласовывается с территориальными органами государственной санитарно-эпидемиологической службы.</w:t>
      </w:r>
    </w:p>
    <w:p w14:paraId="4BD709C4"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51. Для полигона ТБО разрабатывается специальная программа производственного контроля, предусматривающая: контроль за состоянием подземных и поверхностных водных объектов, атмосферного воздуха, почв, уровней шума в зоне возможного неблагоприятного влияния полигона.</w:t>
      </w:r>
    </w:p>
    <w:p w14:paraId="379B1927" w14:textId="77777777" w:rsidR="0024354D" w:rsidRPr="0024354D" w:rsidRDefault="0024354D" w:rsidP="0024354D">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24354D">
        <w:rPr>
          <w:rFonts w:ascii="Helvetica" w:eastAsia="Times New Roman" w:hAnsi="Helvetica" w:cs="Times New Roman"/>
          <w:color w:val="333333"/>
          <w:kern w:val="0"/>
          <w:sz w:val="21"/>
          <w:szCs w:val="21"/>
          <w:lang w:eastAsia="ru-RU"/>
          <w14:ligatures w14:val="none"/>
        </w:rPr>
        <w:t>52. Технологические процессы должны обеспечивать предотвращение загрязнения грунтовых и поверхностных вод, атмосферного воздуха, почв, превышения уровней шума выше допустимых пределов, установленных в гигиенических нормативах.</w:t>
      </w:r>
    </w:p>
    <w:p w14:paraId="45AED721" w14:textId="61CC99B7" w:rsidR="0054749A" w:rsidRPr="0054749A" w:rsidRDefault="0024354D" w:rsidP="0024354D">
      <w:pPr>
        <w:shd w:val="clear" w:color="auto" w:fill="FFFFFF"/>
        <w:spacing w:after="0" w:line="240" w:lineRule="auto"/>
        <w:ind w:firstLine="360"/>
        <w:jc w:val="both"/>
        <w:rPr>
          <w:rFonts w:eastAsia="Times New Roman" w:cs="Times New Roman"/>
          <w:color w:val="333333"/>
          <w:kern w:val="0"/>
          <w:sz w:val="21"/>
          <w:szCs w:val="21"/>
          <w:lang w:eastAsia="ru-RU"/>
          <w14:ligatures w14:val="none"/>
        </w:rPr>
      </w:pPr>
      <w:r w:rsidRPr="0024354D">
        <w:rPr>
          <w:rFonts w:ascii="Helvetica" w:eastAsia="Times New Roman" w:hAnsi="Helvetica" w:cs="Times New Roman"/>
          <w:color w:val="333333"/>
          <w:kern w:val="0"/>
          <w:sz w:val="21"/>
          <w:szCs w:val="21"/>
          <w:lang w:eastAsia="ru-RU"/>
          <w14:ligatures w14:val="none"/>
        </w:rPr>
        <w:t>Программа производственного контроля полигона ТБО разрабатывается собственником полигона в соответствии с Приказом Министерства здравоохранения Приднестровской Молдавской Республики от 20 марта 2015 года № 211 «О введении в действие СанПиН МЗ ПМР 1.1.1058-15 «Порядок организации и проведения производственного контроля за соблюдением санитарных правил и выполнением санитарно-противоэпидемических (профилактических) мероприятий» (регистрационный № 7222 от 19 августа 2015 года) (САЗ 15-34) и настоящими санитарными правилами.</w:t>
      </w:r>
    </w:p>
    <w:p w14:paraId="5F7FE5ED"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53. Система производственного контроля должна включать устройства и сооружения по контролю состояния подземных и поверхностных вод, атмосферного воздуха, почвы, уровней шума в зоне возможного влияния полигона.</w:t>
      </w:r>
    </w:p>
    <w:p w14:paraId="48A4A63D"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 xml:space="preserve">54. По согласованию с территориальным органом государственной санитарно-эпидемиологической службы и другими контролирующими органами производится контроль за состоянием грунтовых вод, в зависимости от глубины их залегания, проектируются шурфы, колодцы или скважины в зеленой зоне полигона и за пределами санитарно-защитной зоны полигона. Контрольное сооружение закладывается выше полигона по потоку грунтовых вод с </w:t>
      </w:r>
      <w:r w:rsidRPr="0054749A">
        <w:rPr>
          <w:rFonts w:ascii="Helvetica" w:eastAsia="Times New Roman" w:hAnsi="Helvetica" w:cs="Times New Roman"/>
          <w:color w:val="333333"/>
          <w:kern w:val="0"/>
          <w:sz w:val="21"/>
          <w:szCs w:val="21"/>
          <w:lang w:eastAsia="ru-RU"/>
          <w14:ligatures w14:val="none"/>
        </w:rPr>
        <w:lastRenderedPageBreak/>
        <w:t>целью отбора проб воды, на которую отсутствует влияние фильтрата с полигона. Выше полигона на поверхностных водоисточниках и ниже полигона на водоотводных канавах также проектируются места отбора проб поверхностных вод.</w:t>
      </w:r>
    </w:p>
    <w:p w14:paraId="6F8A56A3"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В отобранных пробах грунтовых и поверхностных вод определяется содержание аммиака, нитритов, нитратов, гидрокарбонатов, кальция, хлоридов, железа, сульфатов, лития, химической потребности в кислороде (далее - ХПК), биохимической потребности в кислороде (далее - БПК), органического углерода, рН, магния, кадмия, хрома, цианидов, свинца, ртути, мышьяка, меди, бария, сухого остатка, также пробы исследуются на гельминтологические и бактериологические показатели. Если в пробах, отобранных ниже по потоку, устанавливается значительное увеличение концентраций определяемых веществ по сравнению с контрольным, необходимо, по согласованию с контролирующими органами, расширить объем определяемых показателей, а в случаях, если содержание определяемых веществ превысит ПДК, необходимо принять меры по ограничению поступления загрязняющих веществ в грунтовые воды до уровня ПДК.</w:t>
      </w:r>
    </w:p>
    <w:p w14:paraId="292A9B4F"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55. Система производственного контроля должна включать постоянное наблюдение за состоянием воздушной среды. В этих целях ежеквартально необходимо производить анализы проб атмосферного воздуха над отработанными участками полигона и на границе санитарно-защитной зоны на содержание соединений, характеризующих процесс биохимического разложения ТБО и представляющих наибольшую опасность. Объем определяемых показателей и периодичность объема проб обосновываются в программе производственного контроля полигонов и согласовываются с контролирующими органами. Обычно при анализе проб атмосферного воздуха определяют метан, сероводород, аммиак, окись углерода, бензол, трихлорметан, четыреххлористый углерод, хлорбензол.</w:t>
      </w:r>
    </w:p>
    <w:p w14:paraId="6294F559"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В случае установления загрязнения атмосферы выше ПДК на границе санитарно-защитной зоны и выше ПДК в рабочей зоне должны быть приняты соответствующие меры, учитывающие характер и уровень загрязнения.</w:t>
      </w:r>
    </w:p>
    <w:p w14:paraId="07953466"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56. Система производственного контроля должна включать постоянное наблюдение за состоянием почвы в зоне возможного влияния полигона. С этой целью качество почвы контролируется по химическим, микробиологическим, радиологическим показателям. Из химических показателей исследуется содержание тяжелых металлов, нитритов, нитратов, гидрокарбонатов, органического углерода, рН, цианидов, свинца, ртути, мышьяка. В качестве микробиологических показателей исследуются: общее бактериальное число, коли-титр, титр протея, яйца гельминтов. Число химических и микробиологических показателей может быть расширено по требованию территориального органа государственной санитарно-эпидемиологической службы.</w:t>
      </w:r>
    </w:p>
    <w:p w14:paraId="0207D119"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00ED6DB9" w14:textId="77777777" w:rsidR="0054749A" w:rsidRPr="0054749A" w:rsidRDefault="0054749A" w:rsidP="0054749A">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6. Гигиенические требования к отходам, используемым при</w:t>
      </w:r>
      <w:r w:rsidRPr="0054749A">
        <w:rPr>
          <w:rFonts w:ascii="Helvetica" w:eastAsia="Times New Roman" w:hAnsi="Helvetica" w:cs="Times New Roman"/>
          <w:color w:val="333333"/>
          <w:kern w:val="0"/>
          <w:sz w:val="21"/>
          <w:szCs w:val="21"/>
          <w:lang w:eastAsia="ru-RU"/>
          <w14:ligatures w14:val="none"/>
        </w:rPr>
        <w:br/>
        <w:t>рекультивации карьеров</w:t>
      </w:r>
    </w:p>
    <w:p w14:paraId="2F970A2F"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506E6B7C" w14:textId="7969FAA2" w:rsidR="0054749A" w:rsidRPr="0054749A" w:rsidRDefault="0054749A" w:rsidP="006C4C63">
      <w:pPr>
        <w:shd w:val="clear" w:color="auto" w:fill="FFFFFF"/>
        <w:spacing w:after="0" w:line="240" w:lineRule="auto"/>
        <w:ind w:firstLine="360"/>
        <w:jc w:val="both"/>
        <w:rPr>
          <w:rFonts w:eastAsia="Times New Roman"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 xml:space="preserve">57. С целью рационального использования земель, при согласовании органов государственной санитарно-эпидемиологической службы и </w:t>
      </w:r>
      <w:r w:rsidR="006C4C63" w:rsidRPr="006C4C63">
        <w:rPr>
          <w:rFonts w:ascii="Helvetica" w:eastAsia="Times New Roman" w:hAnsi="Helvetica" w:cs="Times New Roman"/>
          <w:color w:val="333333"/>
          <w:kern w:val="0"/>
          <w:sz w:val="21"/>
          <w:szCs w:val="21"/>
          <w:lang w:eastAsia="ru-RU"/>
          <w14:ligatures w14:val="none"/>
        </w:rPr>
        <w:t>уполномоченного органа в сфере экологии</w:t>
      </w:r>
      <w:r w:rsidRPr="0054749A">
        <w:rPr>
          <w:rFonts w:ascii="Helvetica" w:eastAsia="Times New Roman" w:hAnsi="Helvetica" w:cs="Times New Roman"/>
          <w:color w:val="333333"/>
          <w:kern w:val="0"/>
          <w:sz w:val="21"/>
          <w:szCs w:val="21"/>
          <w:lang w:eastAsia="ru-RU"/>
          <w14:ligatures w14:val="none"/>
        </w:rPr>
        <w:t xml:space="preserve"> допускается размещение и устройство полигонов ТБО в отработанных карьерах в соответствии с требованиями к выбору площадки под размещение полигонов ТБО.</w:t>
      </w:r>
    </w:p>
    <w:p w14:paraId="371E4682"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58. Допускается засыпка карьеров и других искусственно созданных полостей с использованием инертных отходов, ТБО и промышленных 3 - 4 классов опасности. При использовании любых видов отходов должен быть определен их морфологический и физико-химический состав. Общее количество пищевых отходов не должно превышать 15%. Основание под размещение отходов должно удовлетворять требованиям установленного порядка по проектированию, эксплуатации и рекультивации полигонов для твердых бытовых отходов.</w:t>
      </w:r>
    </w:p>
    <w:p w14:paraId="1F83ABEA"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59. Размер санитарно-защитной зоны для рекультивируемого карьера принимается равным размеру санитарно-защитной зоны для мусороперегрузочных станций ТБО и должен составлять не менее 100 метров от ближайшей жилой застройки. Рекультивируемый карьер должен иметь легкое ограждение и временные хозяйственно-бытовые объекты для обеспечения выполнения работ.</w:t>
      </w:r>
    </w:p>
    <w:p w14:paraId="1966FCD0"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60. Территориальный орган государственной санитарно-эпидемиологической службы осуществляет санитарный контроль (надзор) за проведением работ при рекультивации карьеров в соответствии с настоящими санитарными правилами.</w:t>
      </w:r>
    </w:p>
    <w:p w14:paraId="1EFD7202"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7C0B8446" w14:textId="77777777" w:rsidR="0054749A" w:rsidRPr="0054749A" w:rsidRDefault="0054749A" w:rsidP="0054749A">
      <w:pPr>
        <w:shd w:val="clear" w:color="auto" w:fill="FFFFFF"/>
        <w:spacing w:after="0" w:line="240" w:lineRule="auto"/>
        <w:ind w:firstLine="360"/>
        <w:jc w:val="center"/>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lastRenderedPageBreak/>
        <w:t>7. Гигиенические требования к условиям приема</w:t>
      </w:r>
      <w:r w:rsidRPr="0054749A">
        <w:rPr>
          <w:rFonts w:ascii="Helvetica" w:eastAsia="Times New Roman" w:hAnsi="Helvetica" w:cs="Times New Roman"/>
          <w:color w:val="333333"/>
          <w:kern w:val="0"/>
          <w:sz w:val="21"/>
          <w:szCs w:val="21"/>
          <w:lang w:eastAsia="ru-RU"/>
          <w14:ligatures w14:val="none"/>
        </w:rPr>
        <w:br/>
        <w:t>промышленных отходов на полигоны твердых бытовых отходов</w:t>
      </w:r>
    </w:p>
    <w:p w14:paraId="60DE718E" w14:textId="77777777" w:rsidR="0054749A" w:rsidRPr="0054749A" w:rsidRDefault="0054749A" w:rsidP="0054749A">
      <w:pPr>
        <w:spacing w:after="0" w:line="240" w:lineRule="auto"/>
        <w:rPr>
          <w:rFonts w:ascii="Times New Roman" w:eastAsia="Times New Roman" w:hAnsi="Times New Roman" w:cs="Times New Roman"/>
          <w:kern w:val="0"/>
          <w:sz w:val="24"/>
          <w:szCs w:val="24"/>
          <w:lang w:eastAsia="ru-RU"/>
          <w14:ligatures w14:val="none"/>
        </w:rPr>
      </w:pPr>
      <w:r w:rsidRPr="0054749A">
        <w:rPr>
          <w:rFonts w:ascii="Helvetica" w:eastAsia="Times New Roman" w:hAnsi="Helvetica" w:cs="Times New Roman"/>
          <w:color w:val="333333"/>
          <w:kern w:val="0"/>
          <w:sz w:val="21"/>
          <w:szCs w:val="21"/>
          <w:lang w:eastAsia="ru-RU"/>
          <w14:ligatures w14:val="none"/>
        </w:rPr>
        <w:br/>
      </w:r>
    </w:p>
    <w:p w14:paraId="50B745CD"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61. Основное условие возможности приема промышленных отходов на полигоны твердых бытовых отходов - соблюдение санитарно-гигиенических требований по охране атмосферного воздуха, почвы, грунтовых и поверхностных вод.</w:t>
      </w:r>
    </w:p>
    <w:p w14:paraId="21FDB4EC"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Основным санитарным условием является требование непревышения токсичности смеси промышленных отходов с бытовыми по сравнению с токсичностью бытовых отходов по данным анализа водной вытяжки.</w:t>
      </w:r>
    </w:p>
    <w:p w14:paraId="1D128758"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62. Промышленные отходы 4 класса опасности, используемые в качестве изолирующего материала, должны характеризоваться содержанием в водной вытяжке (1 л воды на 1 кг отходов) токсичных веществ на уровне фильтра из твердых бытовых отходов, а по интегрирующим показателям - биохимической потребностью в кислороде (БПК) и химической потребностью в кислороде (ХПК) - не выше 300 мг/л, имеют однородную структуру с размером фракций менее 250 мм.</w:t>
      </w:r>
    </w:p>
    <w:p w14:paraId="6ADF0AFD"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63. Промышленные отходы 4 и 3 класса опасности, принимаемые в ограниченном количестве (не более 30% от массы твердых бытовых отходов) и складируемые совместно с бытовыми, должны характеризоваться содержанием в водной вытяжке токсичных веществ на уровне фильтрата из ТБО и значениями БПК - 20 и ХПК - 3400-5000 мг/л О2.</w:t>
      </w:r>
    </w:p>
    <w:p w14:paraId="09B58BD1" w14:textId="3D7081F0"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 xml:space="preserve">64. Вопрос о количестве указанных отходов, принимаемых на полигон твердых бытовых отходов, решается организацией эксплуатирующей полигон, по согласованию с территориальным органом государственной санитарно-эпидемиологической службы и </w:t>
      </w:r>
      <w:r w:rsidR="00026E3F" w:rsidRPr="00026E3F">
        <w:rPr>
          <w:rFonts w:ascii="Helvetica" w:eastAsia="Times New Roman" w:hAnsi="Helvetica" w:cs="Times New Roman"/>
          <w:color w:val="333333"/>
          <w:kern w:val="0"/>
          <w:sz w:val="21"/>
          <w:szCs w:val="21"/>
          <w:lang w:eastAsia="ru-RU"/>
          <w14:ligatures w14:val="none"/>
        </w:rPr>
        <w:t>уполномоченным органом в сфере экологии</w:t>
      </w:r>
      <w:r w:rsidRPr="0054749A">
        <w:rPr>
          <w:rFonts w:ascii="Helvetica" w:eastAsia="Times New Roman" w:hAnsi="Helvetica" w:cs="Times New Roman"/>
          <w:color w:val="333333"/>
          <w:kern w:val="0"/>
          <w:sz w:val="21"/>
          <w:szCs w:val="21"/>
          <w:lang w:eastAsia="ru-RU"/>
          <w14:ligatures w14:val="none"/>
        </w:rPr>
        <w:t xml:space="preserve"> и утверждается в установленном порядке. Санитарно-эпидемиологическое заключение о совместном хранении и захоронении промышленных отходов и ТБО выдается территориальным органом государственной санитарно-эпидемиологической службы на основе анализов лабораторий, аккредитованных (аттестованных) в установленном порядке.</w:t>
      </w:r>
    </w:p>
    <w:p w14:paraId="14C186CD" w14:textId="77777777" w:rsidR="0054749A" w:rsidRPr="0054749A" w:rsidRDefault="0054749A" w:rsidP="0054749A">
      <w:pPr>
        <w:shd w:val="clear" w:color="auto" w:fill="FFFFFF"/>
        <w:spacing w:after="0" w:line="240" w:lineRule="auto"/>
        <w:ind w:firstLine="360"/>
        <w:jc w:val="both"/>
        <w:rPr>
          <w:rFonts w:ascii="Helvetica" w:eastAsia="Times New Roman" w:hAnsi="Helvetica" w:cs="Times New Roman"/>
          <w:color w:val="333333"/>
          <w:kern w:val="0"/>
          <w:sz w:val="21"/>
          <w:szCs w:val="21"/>
          <w:lang w:eastAsia="ru-RU"/>
          <w14:ligatures w14:val="none"/>
        </w:rPr>
      </w:pPr>
      <w:r w:rsidRPr="0054749A">
        <w:rPr>
          <w:rFonts w:ascii="Helvetica" w:eastAsia="Times New Roman" w:hAnsi="Helvetica" w:cs="Times New Roman"/>
          <w:color w:val="333333"/>
          <w:kern w:val="0"/>
          <w:sz w:val="21"/>
          <w:szCs w:val="21"/>
          <w:lang w:eastAsia="ru-RU"/>
          <w14:ligatures w14:val="none"/>
        </w:rPr>
        <w:t>65. Организация, в ведении которой находится полигон твердых бытовых отходов, обеспечивает безопасное в санитарно-гигиеническом и экологическом отношении хранение и захоронение отходов.</w:t>
      </w:r>
    </w:p>
    <w:p w14:paraId="5E79B262" w14:textId="77777777" w:rsidR="00602057" w:rsidRDefault="00602057" w:rsidP="0054749A">
      <w:pPr>
        <w:spacing w:after="0"/>
      </w:pPr>
    </w:p>
    <w:sectPr w:rsidR="00602057" w:rsidSect="0054749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BA"/>
    <w:rsid w:val="00026E3F"/>
    <w:rsid w:val="0024354D"/>
    <w:rsid w:val="00271C9D"/>
    <w:rsid w:val="0054749A"/>
    <w:rsid w:val="00602057"/>
    <w:rsid w:val="006C4C63"/>
    <w:rsid w:val="00863A23"/>
    <w:rsid w:val="00A61499"/>
    <w:rsid w:val="00BC6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3031"/>
  <w15:chartTrackingRefBased/>
  <w15:docId w15:val="{1FE23A78-3B16-4F22-AB6F-07C399B2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C60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C60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C60B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C60B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C60B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C60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C60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C60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C60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0B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C60B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C60B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C60B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C60B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C60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C60BA"/>
    <w:rPr>
      <w:rFonts w:eastAsiaTheme="majorEastAsia" w:cstheme="majorBidi"/>
      <w:color w:val="595959" w:themeColor="text1" w:themeTint="A6"/>
    </w:rPr>
  </w:style>
  <w:style w:type="character" w:customStyle="1" w:styleId="80">
    <w:name w:val="Заголовок 8 Знак"/>
    <w:basedOn w:val="a0"/>
    <w:link w:val="8"/>
    <w:uiPriority w:val="9"/>
    <w:semiHidden/>
    <w:rsid w:val="00BC60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C60BA"/>
    <w:rPr>
      <w:rFonts w:eastAsiaTheme="majorEastAsia" w:cstheme="majorBidi"/>
      <w:color w:val="272727" w:themeColor="text1" w:themeTint="D8"/>
    </w:rPr>
  </w:style>
  <w:style w:type="paragraph" w:styleId="a3">
    <w:name w:val="Title"/>
    <w:basedOn w:val="a"/>
    <w:next w:val="a"/>
    <w:link w:val="a4"/>
    <w:uiPriority w:val="10"/>
    <w:qFormat/>
    <w:rsid w:val="00BC6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C6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0B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C60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C60BA"/>
    <w:pPr>
      <w:spacing w:before="160"/>
      <w:jc w:val="center"/>
    </w:pPr>
    <w:rPr>
      <w:i/>
      <w:iCs/>
      <w:color w:val="404040" w:themeColor="text1" w:themeTint="BF"/>
    </w:rPr>
  </w:style>
  <w:style w:type="character" w:customStyle="1" w:styleId="22">
    <w:name w:val="Цитата 2 Знак"/>
    <w:basedOn w:val="a0"/>
    <w:link w:val="21"/>
    <w:uiPriority w:val="29"/>
    <w:rsid w:val="00BC60BA"/>
    <w:rPr>
      <w:i/>
      <w:iCs/>
      <w:color w:val="404040" w:themeColor="text1" w:themeTint="BF"/>
    </w:rPr>
  </w:style>
  <w:style w:type="paragraph" w:styleId="a7">
    <w:name w:val="List Paragraph"/>
    <w:basedOn w:val="a"/>
    <w:uiPriority w:val="34"/>
    <w:qFormat/>
    <w:rsid w:val="00BC60BA"/>
    <w:pPr>
      <w:ind w:left="720"/>
      <w:contextualSpacing/>
    </w:pPr>
  </w:style>
  <w:style w:type="character" w:styleId="a8">
    <w:name w:val="Intense Emphasis"/>
    <w:basedOn w:val="a0"/>
    <w:uiPriority w:val="21"/>
    <w:qFormat/>
    <w:rsid w:val="00BC60BA"/>
    <w:rPr>
      <w:i/>
      <w:iCs/>
      <w:color w:val="2F5496" w:themeColor="accent1" w:themeShade="BF"/>
    </w:rPr>
  </w:style>
  <w:style w:type="paragraph" w:styleId="a9">
    <w:name w:val="Intense Quote"/>
    <w:basedOn w:val="a"/>
    <w:next w:val="a"/>
    <w:link w:val="aa"/>
    <w:uiPriority w:val="30"/>
    <w:qFormat/>
    <w:rsid w:val="00BC6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C60BA"/>
    <w:rPr>
      <w:i/>
      <w:iCs/>
      <w:color w:val="2F5496" w:themeColor="accent1" w:themeShade="BF"/>
    </w:rPr>
  </w:style>
  <w:style w:type="character" w:styleId="ab">
    <w:name w:val="Intense Reference"/>
    <w:basedOn w:val="a0"/>
    <w:uiPriority w:val="32"/>
    <w:qFormat/>
    <w:rsid w:val="00BC6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103366">
      <w:bodyDiv w:val="1"/>
      <w:marLeft w:val="0"/>
      <w:marRight w:val="0"/>
      <w:marTop w:val="0"/>
      <w:marBottom w:val="0"/>
      <w:divBdr>
        <w:top w:val="none" w:sz="0" w:space="0" w:color="auto"/>
        <w:left w:val="none" w:sz="0" w:space="0" w:color="auto"/>
        <w:bottom w:val="none" w:sz="0" w:space="0" w:color="auto"/>
        <w:right w:val="none" w:sz="0" w:space="0" w:color="auto"/>
      </w:divBdr>
      <w:divsChild>
        <w:div w:id="1124811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3707</Words>
  <Characters>21135</Characters>
  <Application>Microsoft Office Word</Application>
  <DocSecurity>0</DocSecurity>
  <Lines>176</Lines>
  <Paragraphs>49</Paragraphs>
  <ScaleCrop>false</ScaleCrop>
  <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6</cp:revision>
  <dcterms:created xsi:type="dcterms:W3CDTF">2025-06-30T14:12:00Z</dcterms:created>
  <dcterms:modified xsi:type="dcterms:W3CDTF">2025-06-30T14:16:00Z</dcterms:modified>
</cp:coreProperties>
</file>