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8C20E" w14:textId="6ED792F3" w:rsidR="00104780" w:rsidRDefault="004A12A2">
      <w:pPr>
        <w:pStyle w:val="a4"/>
        <w:jc w:val="center"/>
        <w:rPr>
          <w:i/>
        </w:rPr>
      </w:pPr>
      <w:r>
        <w:rPr>
          <w:i/>
        </w:rPr>
        <w:t xml:space="preserve">(редакция на </w:t>
      </w:r>
      <w:r w:rsidR="00517B35" w:rsidRPr="00517B35">
        <w:rPr>
          <w:i/>
        </w:rPr>
        <w:t xml:space="preserve">16 апреля 2024 </w:t>
      </w:r>
      <w:proofErr w:type="gramStart"/>
      <w:r w:rsidR="00517B35" w:rsidRPr="00517B35">
        <w:rPr>
          <w:i/>
        </w:rPr>
        <w:t>г.</w:t>
      </w:r>
      <w:r>
        <w:rPr>
          <w:i/>
        </w:rPr>
        <w:t>.</w:t>
      </w:r>
      <w:proofErr w:type="gramEnd"/>
      <w:r>
        <w:rPr>
          <w:i/>
        </w:rPr>
        <w:t>)</w:t>
      </w:r>
    </w:p>
    <w:p w14:paraId="37F971F2" w14:textId="77777777" w:rsidR="00104780" w:rsidRDefault="004A12A2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14:paraId="7795291A" w14:textId="77777777" w:rsidR="00104780" w:rsidRDefault="004A12A2">
      <w:pPr>
        <w:pStyle w:val="head"/>
      </w:pPr>
      <w:r>
        <w:rPr>
          <w:b/>
        </w:rPr>
        <w:t>ПРИКАЗ</w:t>
      </w:r>
    </w:p>
    <w:p w14:paraId="3056C2A2" w14:textId="77777777" w:rsidR="00104780" w:rsidRDefault="004A12A2">
      <w:pPr>
        <w:pStyle w:val="head"/>
      </w:pPr>
      <w:r>
        <w:rPr>
          <w:b/>
        </w:rPr>
        <w:t>от 16 июня 2014 г.</w:t>
      </w:r>
      <w:r>
        <w:br/>
      </w:r>
      <w:r>
        <w:rPr>
          <w:b/>
        </w:rPr>
        <w:t>№ 292</w:t>
      </w:r>
    </w:p>
    <w:p w14:paraId="0B7581D1" w14:textId="77777777" w:rsidR="00104780" w:rsidRDefault="004A12A2">
      <w:pPr>
        <w:pStyle w:val="head"/>
      </w:pPr>
      <w:r>
        <w:rPr>
          <w:b/>
        </w:rPr>
        <w:t>Об утверждении фармакопейной статьи ФС 2826-008-14 «Пустырника настойка»</w:t>
      </w:r>
    </w:p>
    <w:p w14:paraId="3601F4E9" w14:textId="77777777" w:rsidR="00104780" w:rsidRDefault="004A12A2">
      <w:pPr>
        <w:pStyle w:val="head"/>
      </w:pPr>
      <w:r>
        <w:t>САЗ (07.07.2014) № 14-27</w:t>
      </w:r>
    </w:p>
    <w:p w14:paraId="041D5B26" w14:textId="77777777" w:rsidR="00104780" w:rsidRDefault="004A12A2">
      <w:pPr>
        <w:pStyle w:val="a4"/>
        <w:jc w:val="center"/>
      </w:pPr>
      <w:r>
        <w:rPr>
          <w:i/>
        </w:rPr>
        <w:t>Согласован:</w:t>
      </w:r>
      <w:r>
        <w:br/>
      </w:r>
      <w:r>
        <w:rPr>
          <w:i/>
        </w:rPr>
        <w:t>ГУ "Центр по контролю за обращением медико-фармацевтической продукции"</w:t>
      </w:r>
    </w:p>
    <w:p w14:paraId="753E85BC" w14:textId="77777777" w:rsidR="00104780" w:rsidRDefault="004A12A2">
      <w:pPr>
        <w:ind w:firstLine="480"/>
        <w:jc w:val="both"/>
      </w:pPr>
      <w:r>
        <w:t xml:space="preserve">В соответствии с </w:t>
      </w:r>
      <w:hyperlink r:id="rId7" w:tooltip="(ВСТУПИЛ В СИЛУ 31.01.2005) О фармацевтической деятельности в Приднестровской Молдавской Республике" w:history="1">
        <w:r>
          <w:rPr>
            <w:rStyle w:val="a3"/>
          </w:rPr>
          <w:t>Законом Приднестровской Молдавской Республики от 25 января 2005 года № 526-З-III "О фармацевтической деятельности в Приднестровской Молдавской Республике"</w:t>
        </w:r>
      </w:hyperlink>
      <w:r>
        <w:t xml:space="preserve"> (САЗ 05-5) с изменениями и дополнениями, внесенными </w:t>
      </w:r>
      <w:hyperlink r:id="rId8" w:tooltip="(ВСТУПИЛ В СИЛУ 19.07.2005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законами Приднестровской Молдавской Республики от 19 июля 2005 года № 597-ЗИ-III</w:t>
        </w:r>
      </w:hyperlink>
      <w:r>
        <w:t xml:space="preserve"> (САЗ 05-30); </w:t>
      </w:r>
      <w:hyperlink r:id="rId9" w:tooltip="(ВСТУПИЛ В СИЛУ 03.04.2006) О внесении изменений и дополнений в некоторые Законы Приднестровской Молдавской Республики" w:history="1">
        <w:r>
          <w:rPr>
            <w:rStyle w:val="a3"/>
          </w:rPr>
          <w:t>от 3 апреля 2006 года № 18-ЗИД-IV</w:t>
        </w:r>
      </w:hyperlink>
      <w:r>
        <w:t xml:space="preserve"> (САЗ 06-15); </w:t>
      </w:r>
      <w:hyperlink r:id="rId10" w:tooltip="(ВСТУПИЛ В СИЛУ 30.06.2006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30 июня 2006 года № 53-ЗИД-IV</w:t>
        </w:r>
      </w:hyperlink>
      <w:r>
        <w:t xml:space="preserve"> (САЗ 06-27); </w:t>
      </w:r>
      <w:hyperlink r:id="rId11" w:tooltip="(ВСТУПИЛ В СИЛУ 29.06.2007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29 июня 2007 года № 242-ЗИД-IV</w:t>
        </w:r>
      </w:hyperlink>
      <w:r>
        <w:t xml:space="preserve"> (САЗ 07-27); </w:t>
      </w:r>
      <w:hyperlink r:id="rId12" w:tooltip="(ВСТУПИЛ В СИЛУ 17.08.2007) &quot;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17 августа 2007 года № 291-ЗИД-IV</w:t>
        </w:r>
      </w:hyperlink>
      <w:r>
        <w:t xml:space="preserve"> (САЗ 07-34); </w:t>
      </w:r>
      <w:hyperlink r:id="rId13" w:tooltip="(ВСТУПИЛ В СИЛУ 06.05.2008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459-ЗИ-IV</w:t>
        </w:r>
      </w:hyperlink>
      <w:r>
        <w:t xml:space="preserve"> (САЗ 08-18); </w:t>
      </w:r>
      <w:hyperlink r:id="rId14" w:tooltip="(ВСТУПИЛ В СИЛУ 06.05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461-ЗД-IV</w:t>
        </w:r>
      </w:hyperlink>
      <w:r>
        <w:t xml:space="preserve"> (САЗ 08-18); </w:t>
      </w:r>
      <w:hyperlink r:id="rId15" w:tooltip="(ВСТУПИЛ В СИЛУ 06.05.2008) О внесени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462-ЗД-IV</w:t>
        </w:r>
      </w:hyperlink>
      <w:r>
        <w:t xml:space="preserve"> (САЗ 08-18); </w:t>
      </w:r>
      <w:hyperlink r:id="rId16" w:tooltip="(ВСТУПИЛ В СИЛУ 04.08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августа 2008 года № 526-ЗД-IV</w:t>
        </w:r>
      </w:hyperlink>
      <w:r>
        <w:t xml:space="preserve"> (САЗ 08-31); </w:t>
      </w:r>
      <w:hyperlink r:id="rId17" w:tooltip="(ВСТУПИЛ В СИЛУ 04.12.2008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декабря 2008 года № 612-ЗИД-IV</w:t>
        </w:r>
      </w:hyperlink>
      <w:r>
        <w:t xml:space="preserve"> (САЗ 08-48); </w:t>
      </w:r>
      <w:hyperlink r:id="rId18" w:tooltip="(ВСТУПИЛ В СИЛУ 24.11.2011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24 ноября 2011 года № 214-ЗД-V</w:t>
        </w:r>
      </w:hyperlink>
      <w:r>
        <w:t xml:space="preserve"> (САЗ 11-47), </w:t>
      </w:r>
      <w:hyperlink r:id="rId19" w:tooltip="(ВСТУПИЛ В СИЛУ 09.08.2012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9 августа 2012 года № 164-ЗИД-V</w:t>
        </w:r>
      </w:hyperlink>
      <w:r>
        <w:t> (САЗ 12-33), приказываю:</w:t>
      </w:r>
    </w:p>
    <w:p w14:paraId="7A9D81B1" w14:textId="77777777" w:rsidR="00104780" w:rsidRDefault="004A12A2">
      <w:pPr>
        <w:ind w:firstLine="480"/>
        <w:jc w:val="both"/>
      </w:pPr>
      <w:r>
        <w:rPr>
          <w:b/>
        </w:rPr>
        <w:t>1.</w:t>
      </w:r>
      <w:r>
        <w:t xml:space="preserve"> Утвердить фармакопейную статью ФС 2826-008-14 "Пустырника настойка".</w:t>
      </w:r>
    </w:p>
    <w:p w14:paraId="07856202" w14:textId="77777777" w:rsidR="00104780" w:rsidRDefault="004A12A2">
      <w:pPr>
        <w:ind w:firstLine="480"/>
        <w:jc w:val="both"/>
      </w:pPr>
      <w:r>
        <w:rPr>
          <w:b/>
        </w:rPr>
        <w:t>2.</w:t>
      </w:r>
      <w:r>
        <w:t xml:space="preserve"> Ответственность за исполнение настоящего Приказа оставляю за собой.</w:t>
      </w:r>
    </w:p>
    <w:p w14:paraId="230DA033" w14:textId="77777777" w:rsidR="00104780" w:rsidRDefault="004A12A2">
      <w:pPr>
        <w:ind w:firstLine="480"/>
        <w:jc w:val="both"/>
      </w:pPr>
      <w:r>
        <w:rPr>
          <w:b/>
        </w:rPr>
        <w:t>3.</w:t>
      </w:r>
      <w:r>
        <w:t xml:space="preserve"> Настоящий Приказ вступает в силу со дня, следующего за днем официального опубликования.</w:t>
      </w:r>
    </w:p>
    <w:p w14:paraId="5CC78437" w14:textId="77777777" w:rsidR="00104780" w:rsidRDefault="004A12A2">
      <w:pPr>
        <w:pStyle w:val="a4"/>
      </w:pPr>
      <w:r>
        <w:rPr>
          <w:b/>
        </w:rPr>
        <w:t xml:space="preserve">Министр Т. </w:t>
      </w:r>
      <w:proofErr w:type="spellStart"/>
      <w:r>
        <w:rPr>
          <w:b/>
        </w:rPr>
        <w:t>Скрыпник</w:t>
      </w:r>
      <w:proofErr w:type="spellEnd"/>
    </w:p>
    <w:p w14:paraId="6D281AF4" w14:textId="77777777" w:rsidR="00104780" w:rsidRDefault="004A12A2">
      <w:pPr>
        <w:pStyle w:val="a4"/>
      </w:pPr>
      <w:r>
        <w:t>г. Тирасполь</w:t>
      </w:r>
      <w:r>
        <w:br/>
        <w:t>16 июня 2014 г.</w:t>
      </w:r>
      <w:r>
        <w:br/>
        <w:t>№ 292</w:t>
      </w:r>
    </w:p>
    <w:p w14:paraId="369EEED7" w14:textId="77777777" w:rsidR="00A33929" w:rsidRDefault="00A33929" w:rsidP="00A33929">
      <w:pPr>
        <w:shd w:val="clear" w:color="auto" w:fill="FFFFFF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                               </w:t>
      </w:r>
    </w:p>
    <w:p w14:paraId="0A3D6CAD" w14:textId="77777777" w:rsidR="00A33929" w:rsidRDefault="00A33929" w:rsidP="00A33929">
      <w:pPr>
        <w:shd w:val="clear" w:color="auto" w:fill="FFFFFF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Приложение к Приказу </w:t>
      </w:r>
    </w:p>
    <w:p w14:paraId="717ECFA8" w14:textId="77777777" w:rsidR="00A33929" w:rsidRDefault="00A33929" w:rsidP="00A33929">
      <w:pPr>
        <w:shd w:val="clear" w:color="auto" w:fill="FFFFFF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                  Министерства здравоохранения</w:t>
      </w:r>
    </w:p>
    <w:p w14:paraId="28F163AF" w14:textId="77777777" w:rsidR="00A33929" w:rsidRDefault="00A33929" w:rsidP="00A33929">
      <w:pPr>
        <w:shd w:val="clear" w:color="auto" w:fill="FFFFFF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Приднестровской Молдавской Республики</w:t>
      </w:r>
    </w:p>
    <w:p w14:paraId="4F89E998" w14:textId="77777777" w:rsidR="00A33929" w:rsidRDefault="00A33929" w:rsidP="00A33929">
      <w:pPr>
        <w:shd w:val="clear" w:color="auto" w:fill="FFFFFF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                     от 16 июня 2014 года № 292</w:t>
      </w:r>
    </w:p>
    <w:p w14:paraId="78D34ED2" w14:textId="77777777" w:rsidR="00A33929" w:rsidRDefault="00A33929" w:rsidP="00A33929">
      <w:pPr>
        <w:shd w:val="clear" w:color="auto" w:fill="FFFFFF"/>
        <w:ind w:firstLine="360"/>
        <w:jc w:val="center"/>
        <w:rPr>
          <w:color w:val="000000" w:themeColor="text1"/>
          <w:szCs w:val="24"/>
        </w:rPr>
      </w:pPr>
    </w:p>
    <w:p w14:paraId="5D83CFFD" w14:textId="77777777" w:rsidR="00A33929" w:rsidRDefault="00A33929" w:rsidP="00A33929">
      <w:pPr>
        <w:shd w:val="clear" w:color="auto" w:fill="FFFFFF"/>
        <w:ind w:firstLine="36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МИНИСТЕРСТВО ЗДРАВООХРАНЕНИЯ</w:t>
      </w:r>
    </w:p>
    <w:p w14:paraId="24CF06F0" w14:textId="77777777" w:rsidR="00A33929" w:rsidRDefault="00A33929" w:rsidP="00A33929">
      <w:pPr>
        <w:shd w:val="clear" w:color="auto" w:fill="FFFFFF"/>
        <w:ind w:firstLine="36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ПРИДНЕСТРОВСКОЙ МОЛДАВСКОЙ РЕСПУБЛИКИ</w:t>
      </w:r>
    </w:p>
    <w:p w14:paraId="3549D97D" w14:textId="77777777" w:rsidR="00A33929" w:rsidRDefault="00A33929" w:rsidP="00A33929">
      <w:pPr>
        <w:shd w:val="clear" w:color="auto" w:fill="FFFFFF"/>
        <w:ind w:firstLine="567"/>
        <w:jc w:val="both"/>
        <w:rPr>
          <w:color w:val="000000" w:themeColor="text1"/>
          <w:szCs w:val="24"/>
        </w:rPr>
      </w:pPr>
    </w:p>
    <w:p w14:paraId="6D296201" w14:textId="77777777" w:rsidR="00A33929" w:rsidRDefault="00A33929" w:rsidP="00A33929">
      <w:pPr>
        <w:shd w:val="clear" w:color="auto" w:fill="FFFFFF"/>
        <w:ind w:firstLine="36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«Утверждаю»</w:t>
      </w:r>
    </w:p>
    <w:p w14:paraId="67A1B925" w14:textId="77777777" w:rsidR="00A33929" w:rsidRDefault="00A33929" w:rsidP="00A33929">
      <w:pPr>
        <w:shd w:val="clear" w:color="auto" w:fill="FFFFFF"/>
        <w:ind w:firstLine="36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Министр здравоохранения </w:t>
      </w:r>
    </w:p>
    <w:p w14:paraId="4248B927" w14:textId="77777777" w:rsidR="00A33929" w:rsidRDefault="00A33929" w:rsidP="00A33929">
      <w:pPr>
        <w:shd w:val="clear" w:color="auto" w:fill="FFFFFF"/>
        <w:ind w:firstLine="36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Приднестровской Молдавской Республики</w:t>
      </w:r>
    </w:p>
    <w:p w14:paraId="7AF3D88B" w14:textId="77777777" w:rsidR="00A33929" w:rsidRDefault="00A33929" w:rsidP="00A33929">
      <w:pPr>
        <w:shd w:val="clear" w:color="auto" w:fill="FFFFFF"/>
        <w:ind w:firstLine="36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_____________________ 2023 г.</w:t>
      </w:r>
    </w:p>
    <w:p w14:paraId="77C7425B" w14:textId="77777777" w:rsidR="00A33929" w:rsidRDefault="00A33929" w:rsidP="00A33929">
      <w:pPr>
        <w:shd w:val="clear" w:color="auto" w:fill="FFFFFF"/>
        <w:ind w:firstLine="567"/>
        <w:jc w:val="both"/>
        <w:rPr>
          <w:color w:val="000000" w:themeColor="text1"/>
          <w:szCs w:val="24"/>
        </w:rPr>
      </w:pPr>
    </w:p>
    <w:p w14:paraId="3249929F" w14:textId="77777777" w:rsidR="00A33929" w:rsidRDefault="00A33929" w:rsidP="00A33929">
      <w:pPr>
        <w:keepNext/>
        <w:jc w:val="center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>Фармакопейная статья</w:t>
      </w:r>
    </w:p>
    <w:p w14:paraId="4B8AB773" w14:textId="77777777" w:rsidR="00A33929" w:rsidRDefault="00A33929" w:rsidP="00A33929">
      <w:pPr>
        <w:jc w:val="both"/>
        <w:rPr>
          <w:rFonts w:ascii="Courier New" w:hAnsi="Courier New" w:cs="Courier New"/>
          <w:sz w:val="20"/>
        </w:rPr>
      </w:pPr>
    </w:p>
    <w:p w14:paraId="23ACA0E1" w14:textId="77777777" w:rsidR="00A33929" w:rsidRDefault="00A33929" w:rsidP="00A33929">
      <w:pPr>
        <w:jc w:val="both"/>
        <w:rPr>
          <w:rFonts w:ascii="Courier New" w:hAnsi="Courier New" w:cs="Courier New"/>
          <w:sz w:val="28"/>
          <w:szCs w:val="28"/>
          <w:shd w:val="clear" w:color="auto" w:fill="FFFFFF"/>
        </w:rPr>
      </w:pPr>
    </w:p>
    <w:p w14:paraId="30A49302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ФС № 2826-008-14</w:t>
      </w:r>
    </w:p>
    <w:p w14:paraId="34A88134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Пустырника настойка</w:t>
      </w:r>
    </w:p>
    <w:p w14:paraId="3F717AB0" w14:textId="77777777" w:rsidR="00A33929" w:rsidRDefault="00A33929" w:rsidP="00A33929">
      <w:pPr>
        <w:ind w:firstLine="284"/>
        <w:jc w:val="both"/>
        <w:rPr>
          <w:szCs w:val="24"/>
        </w:rPr>
      </w:pPr>
      <w:proofErr w:type="spellStart"/>
      <w:r>
        <w:rPr>
          <w:szCs w:val="24"/>
        </w:rPr>
        <w:t>Leonuri</w:t>
      </w:r>
      <w:proofErr w:type="spellEnd"/>
      <w:r>
        <w:rPr>
          <w:szCs w:val="24"/>
          <w:lang w:val="en-US"/>
        </w:rPr>
        <w:t>t</w:t>
      </w:r>
      <w:proofErr w:type="spellStart"/>
      <w:r>
        <w:rPr>
          <w:szCs w:val="24"/>
        </w:rPr>
        <w:t>inctura</w:t>
      </w:r>
      <w:proofErr w:type="spellEnd"/>
    </w:p>
    <w:p w14:paraId="7F7C80C2" w14:textId="77777777" w:rsidR="00A33929" w:rsidRDefault="00A33929" w:rsidP="00A33929">
      <w:pPr>
        <w:jc w:val="both"/>
        <w:rPr>
          <w:szCs w:val="24"/>
        </w:rPr>
      </w:pPr>
    </w:p>
    <w:p w14:paraId="666495F9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Срок введения установлен</w:t>
      </w:r>
    </w:p>
    <w:p w14:paraId="3BDA6945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«____» ___________2023 год</w:t>
      </w:r>
    </w:p>
    <w:p w14:paraId="4505408D" w14:textId="77777777" w:rsidR="00A33929" w:rsidRDefault="00A33929" w:rsidP="00A33929">
      <w:pPr>
        <w:jc w:val="both"/>
        <w:rPr>
          <w:szCs w:val="24"/>
          <w:shd w:val="clear" w:color="auto" w:fill="FFFFFF"/>
        </w:rPr>
      </w:pPr>
    </w:p>
    <w:p w14:paraId="758A3BCF" w14:textId="77777777" w:rsidR="00A33929" w:rsidRDefault="00A33929" w:rsidP="00A33929">
      <w:pPr>
        <w:ind w:firstLine="284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Настоящая фармакопейная статья распространяется на Пустырника настойку, применяемую в качестве лекарственного средства.</w:t>
      </w:r>
    </w:p>
    <w:p w14:paraId="53256531" w14:textId="77777777" w:rsidR="00A33929" w:rsidRDefault="00A33929" w:rsidP="00A33929">
      <w:pPr>
        <w:jc w:val="both"/>
        <w:rPr>
          <w:szCs w:val="24"/>
        </w:rPr>
      </w:pPr>
    </w:p>
    <w:p w14:paraId="5CA7DF57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 xml:space="preserve">Состав: </w:t>
      </w:r>
    </w:p>
    <w:p w14:paraId="2F3004F1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Пустырника травы                                           200 г;</w:t>
      </w:r>
    </w:p>
    <w:p w14:paraId="603A6073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 xml:space="preserve">(ГФ ПМР XIV изд., том IV, ч.2: ФС.2.5.0034.15) </w:t>
      </w:r>
    </w:p>
    <w:p w14:paraId="3A92FFE2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 xml:space="preserve">Этанола (спирта этилового) 70%        достаточное количество для </w:t>
      </w:r>
    </w:p>
    <w:p w14:paraId="346F4E5B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ФС 2826-005-14)                       получения 1000 мл настойки.</w:t>
      </w:r>
    </w:p>
    <w:p w14:paraId="2D1DB6F3" w14:textId="77777777" w:rsidR="00A33929" w:rsidRDefault="00A33929" w:rsidP="00A33929">
      <w:pPr>
        <w:jc w:val="both"/>
        <w:rPr>
          <w:szCs w:val="24"/>
        </w:rPr>
      </w:pPr>
    </w:p>
    <w:p w14:paraId="68006377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Описание. Прозрачная жидкость от светло-коричневого или зеленовато-коричневого до темно-коричневого с зеленоватым оттенком цвета, со слабым характерным запахом.</w:t>
      </w:r>
    </w:p>
    <w:p w14:paraId="71F4A83D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 xml:space="preserve">Подлинность. </w:t>
      </w:r>
    </w:p>
    <w:p w14:paraId="51E72E76" w14:textId="77777777" w:rsidR="00A33929" w:rsidRDefault="00A33929" w:rsidP="00A33929">
      <w:pPr>
        <w:pStyle w:val="a5"/>
        <w:widowControl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Качественная реакция.</w:t>
      </w:r>
    </w:p>
    <w:p w14:paraId="2CEE39EA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 xml:space="preserve">К 1 мл препарата прибавляют 0,2 </w:t>
      </w:r>
      <w:proofErr w:type="spellStart"/>
      <w:r>
        <w:rPr>
          <w:szCs w:val="24"/>
        </w:rPr>
        <w:t>млжелеза</w:t>
      </w:r>
      <w:proofErr w:type="spellEnd"/>
      <w:r>
        <w:rPr>
          <w:szCs w:val="24"/>
        </w:rPr>
        <w:t xml:space="preserve"> (III) хлорида раствора 3%, должно наблюдаться черно-зеленое окрашивание (дубильные вещества).</w:t>
      </w:r>
    </w:p>
    <w:p w14:paraId="4A307FB4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2. Качественная реакция.</w:t>
      </w:r>
    </w:p>
    <w:p w14:paraId="419FF0FC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К 0,5 мл препарата прибавляют 0,5 мл ванилина раствора 2% в спирте 96%, 7 (семь) капель серной кислоты концентрированной и нагревают на кипящей водяной бане в течение полминуты; появляется красное окрашивание (гликозиды).</w:t>
      </w:r>
    </w:p>
    <w:p w14:paraId="2FECD029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Сухой остаток. Не менее 1,4%. В соответствии с требованиями ОФС «Настойки».</w:t>
      </w:r>
    </w:p>
    <w:p w14:paraId="2AFA7BDA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Спирт этиловый. Не менее 64%. В соответствии с требованиями ОФС «Определение спирта этилового в лекарственных средствах».</w:t>
      </w:r>
    </w:p>
    <w:p w14:paraId="666E348F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Тяжелые металлы. Не более 0,001%. В соответствии с требованиями ОФС «Настойки».</w:t>
      </w:r>
    </w:p>
    <w:p w14:paraId="2CE32E0A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Объем содержимого упаковки. Препарат должен соответствовать требованиям Приказа Министерства здравоохранения и социальной защиты Приднестровской Молдавской Республики от 14 января 2009 года №14 «Об утверждении «Инструкции на допустимые отклонения при промышленном фасовании лекарственных средств» (САЗ 09-11).</w:t>
      </w:r>
    </w:p>
    <w:p w14:paraId="2269F22D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Микробиологическая чистота. В соответствии с требованиями ОФС «Микробиологическая чистота».</w:t>
      </w:r>
    </w:p>
    <w:p w14:paraId="557C7932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Упаковка.</w:t>
      </w:r>
    </w:p>
    <w:p w14:paraId="23424CA1" w14:textId="77777777" w:rsidR="00472FEA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 xml:space="preserve">Первичная упаковка: </w:t>
      </w:r>
      <w:r w:rsidR="00472FEA">
        <w:rPr>
          <w:szCs w:val="24"/>
        </w:rPr>
        <w:t>п</w:t>
      </w:r>
      <w:r w:rsidR="00472FEA" w:rsidRPr="00793F02">
        <w:rPr>
          <w:szCs w:val="24"/>
        </w:rPr>
        <w:t>о 25, 50 или 100 мл во флаконы оранжевого стекла или флаконы полимерные темного цвета. Флаконы оранжевого стекла укупориваются полиэтиленовыми пробками или пробками-капельницами</w:t>
      </w:r>
      <w:r w:rsidR="00472FEA">
        <w:rPr>
          <w:szCs w:val="24"/>
        </w:rPr>
        <w:t xml:space="preserve"> и колпачком</w:t>
      </w:r>
      <w:r w:rsidR="00472FEA" w:rsidRPr="00793F02">
        <w:rPr>
          <w:szCs w:val="24"/>
        </w:rPr>
        <w:t xml:space="preserve"> и навинчиваются пластмассовыми или полимерными крышками. Флаконы полимерные темного цвета навинчиваются полимерными пробками с или без контроля вскрытия или насадкой и колпачком</w:t>
      </w:r>
      <w:r w:rsidR="00472FEA">
        <w:rPr>
          <w:szCs w:val="24"/>
        </w:rPr>
        <w:t xml:space="preserve"> или </w:t>
      </w:r>
      <w:r w:rsidR="00472FEA" w:rsidRPr="008C3B13">
        <w:rPr>
          <w:szCs w:val="24"/>
        </w:rPr>
        <w:t>пробкой – капельницей и колпачком</w:t>
      </w:r>
      <w:r w:rsidR="00472FEA" w:rsidRPr="00793F02">
        <w:rPr>
          <w:szCs w:val="24"/>
        </w:rPr>
        <w:t>.</w:t>
      </w:r>
    </w:p>
    <w:p w14:paraId="418291AF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lastRenderedPageBreak/>
        <w:t>На каждый флакон наклеивается этикетка, изготовленная из бумаги этикеточной, или писчей, или самоклеящейся.</w:t>
      </w:r>
    </w:p>
    <w:p w14:paraId="491BAE35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Вторичная упаковка: по одному флакону вместе с инструкцией по медицинскому применению помещают в пачку картонную. Допускается укладка флаконов в групповую упаковку без индивидуальной упаковки с равным количеством инструкций по медицинскому применению.</w:t>
      </w:r>
    </w:p>
    <w:p w14:paraId="45F6F39B" w14:textId="77777777" w:rsidR="00A33929" w:rsidRDefault="00A33929" w:rsidP="00A33929">
      <w:pPr>
        <w:ind w:firstLine="284"/>
        <w:jc w:val="both"/>
        <w:rPr>
          <w:color w:val="FF0000"/>
          <w:szCs w:val="24"/>
        </w:rPr>
      </w:pPr>
      <w:r>
        <w:rPr>
          <w:szCs w:val="24"/>
        </w:rPr>
        <w:t>Групповая упаковка: флаконы вместе с инструкциями по медицинскому применению помешают в картонные коробки.</w:t>
      </w:r>
    </w:p>
    <w:p w14:paraId="2DEC5EAC" w14:textId="77777777" w:rsidR="00A33929" w:rsidRDefault="00A33929" w:rsidP="00A33929">
      <w:pPr>
        <w:jc w:val="both"/>
        <w:rPr>
          <w:szCs w:val="24"/>
        </w:rPr>
      </w:pPr>
      <w:r>
        <w:rPr>
          <w:szCs w:val="24"/>
        </w:rPr>
        <w:t>Групповая упаковка для транспортировки согласно ГОСТ 17768-90.</w:t>
      </w:r>
    </w:p>
    <w:p w14:paraId="5FF8AC66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Маркировка. Соответствует требованиям Приказа Министерства здравоохранения и социальной защиты Приднестровской Молдавской Республики от 30 сентября 2008 года №482 «Об утверждении «Инструкции по графическому оформлению   лекарственных средств, производимых на территории Приднестровской Молдавской Республики» (регистрационный № 4614 от 10 ноября 2008 года) (САЗ 08-45), Приказа Министерства здравоохранения  Приднестровской Молдавской Республики от 22 июля 2020 года№654 «Об утверждении Требований к маркировке и оформлению лекарственных средств для медицинского применения и изделий медицинского назначения, производимых на территории Приднестровской Молдавской Республики и ввозимых на территорию Приднестровской Молдавской Республики фармацевтическими организациями» (САЗ 20-34) и ГФ ПМР XIV изд. т. I ч.1: ОФС.1.1.0025.18. «Упаковка, маркировка и транспортирование лекарственных средств».</w:t>
      </w:r>
    </w:p>
    <w:p w14:paraId="61FA9C92" w14:textId="5F2D758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На первичной (внутренней) упаковке лекарственного препарата указывается следующая информация: торговое наименование лекарственного препарата; лекарственная форма; количество лекарственного препарата в упаковке;</w:t>
      </w:r>
      <w:r w:rsidR="00517B35">
        <w:rPr>
          <w:szCs w:val="24"/>
        </w:rPr>
        <w:t xml:space="preserve"> </w:t>
      </w:r>
      <w:proofErr w:type="spellStart"/>
      <w:r>
        <w:rPr>
          <w:szCs w:val="24"/>
        </w:rPr>
        <w:t>наименованиеи</w:t>
      </w:r>
      <w:proofErr w:type="spellEnd"/>
      <w:r>
        <w:rPr>
          <w:szCs w:val="24"/>
        </w:rPr>
        <w:t xml:space="preserve"> адрес производителя лекарственного препарата, товарный знак; номер серии; дата истечения срока годности («годен до…»; регистрационный номер.</w:t>
      </w:r>
    </w:p>
    <w:p w14:paraId="66556CDF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На вторичной упаковке, а при ее отсутствии — на первичной упаковке лекарственного препарата указывается следующая информация: торговое наименование лекарственного препарата;  лекарственная форма; количество лекарственного препарата в упаковке; информация о составе лекарственного препарата; наименование и адрес производителя  лекарственного препарата, товарный знак; номер серии; регистрационный номер; дата производства; дата истечения срока годности («годен до…»); условия хранения; условия отпуска; предупредительные надписи «хранить в недоступном для детей месте».</w:t>
      </w:r>
    </w:p>
    <w:p w14:paraId="763E8D10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На групповой упаковке - торговое наименование лекарственного препарата; наименование и адрес производителя лекарственного препарата; количество лекарственного препарата в упаковке и (или) количество упаковок в групповой упаковке; условия хранения и при необходимости условия транспортировки; номер серии; дата производства; дата истечения срока годности («годен до…»).</w:t>
      </w:r>
    </w:p>
    <w:p w14:paraId="58B687C9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Хранение.  Хранить в защищенном от света месте, при температуре не выше 25°С. Хранить в недоступном для детей месте.</w:t>
      </w:r>
    </w:p>
    <w:p w14:paraId="6D84164A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Срок годности. 3 года.</w:t>
      </w:r>
    </w:p>
    <w:p w14:paraId="7F5800C7" w14:textId="77777777" w:rsidR="00A33929" w:rsidRDefault="00A33929" w:rsidP="00A33929">
      <w:pPr>
        <w:ind w:firstLine="284"/>
        <w:jc w:val="both"/>
        <w:rPr>
          <w:szCs w:val="24"/>
        </w:rPr>
      </w:pPr>
      <w:r>
        <w:rPr>
          <w:szCs w:val="24"/>
        </w:rPr>
        <w:t>Примечание: реактивы, титрованные растворы и индикаторы, приведенные в настоящей фармакопейной статье, описаны в соответствующих разделах Государственной фармакопеи Приднестровской Молдавской Республики XIV издания.</w:t>
      </w:r>
    </w:p>
    <w:p w14:paraId="6E22C1B5" w14:textId="77777777" w:rsidR="00104780" w:rsidRDefault="00104780" w:rsidP="00A33929">
      <w:pPr>
        <w:pStyle w:val="a4"/>
        <w:jc w:val="right"/>
      </w:pPr>
    </w:p>
    <w:sectPr w:rsidR="00104780" w:rsidSect="001E7D17">
      <w:pgSz w:w="12240" w:h="15840"/>
      <w:pgMar w:top="568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582E" w14:textId="77777777" w:rsidR="001E7D17" w:rsidRDefault="001E7D17">
      <w:r>
        <w:separator/>
      </w:r>
    </w:p>
  </w:endnote>
  <w:endnote w:type="continuationSeparator" w:id="0">
    <w:p w14:paraId="357A4CE7" w14:textId="77777777" w:rsidR="001E7D17" w:rsidRDefault="001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A6CCD" w14:textId="77777777" w:rsidR="001E7D17" w:rsidRDefault="001E7D17">
      <w:r>
        <w:separator/>
      </w:r>
    </w:p>
  </w:footnote>
  <w:footnote w:type="continuationSeparator" w:id="0">
    <w:p w14:paraId="36024027" w14:textId="77777777" w:rsidR="001E7D17" w:rsidRDefault="001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F6EE7"/>
    <w:multiLevelType w:val="hybridMultilevel"/>
    <w:tmpl w:val="078E48E0"/>
    <w:lvl w:ilvl="0" w:tplc="500C2E70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42568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80"/>
    <w:rsid w:val="00104780"/>
    <w:rsid w:val="001E7D17"/>
    <w:rsid w:val="00472FEA"/>
    <w:rsid w:val="004A12A2"/>
    <w:rsid w:val="00517B35"/>
    <w:rsid w:val="00582E70"/>
    <w:rsid w:val="006D548A"/>
    <w:rsid w:val="009A446C"/>
    <w:rsid w:val="00A33929"/>
    <w:rsid w:val="00C4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9A68"/>
  <w15:docId w15:val="{A9ABCE0C-A383-43D2-8736-024B7775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33929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a6">
    <w:name w:val="header"/>
    <w:basedOn w:val="a"/>
    <w:link w:val="a7"/>
    <w:uiPriority w:val="99"/>
    <w:unhideWhenUsed/>
    <w:rsid w:val="00517B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B35"/>
    <w:rPr>
      <w:sz w:val="24"/>
    </w:rPr>
  </w:style>
  <w:style w:type="paragraph" w:styleId="a8">
    <w:name w:val="footer"/>
    <w:basedOn w:val="a"/>
    <w:link w:val="a9"/>
    <w:uiPriority w:val="99"/>
    <w:unhideWhenUsed/>
    <w:rsid w:val="00517B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B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uiif07g8L1fIx800zY3jzQ%3d%3d" TargetMode="External"/><Relationship Id="rId13" Type="http://schemas.openxmlformats.org/officeDocument/2006/relationships/hyperlink" Target="https://pravopmr.ru/View.aspx?id=S8vAHIN86DLAIxruqOLpyw%3d%3d" TargetMode="External"/><Relationship Id="rId18" Type="http://schemas.openxmlformats.org/officeDocument/2006/relationships/hyperlink" Target="https://pravopmr.ru/View.aspx?id=Rm6UxgAv9laNICenh9ULWA%3d%3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opmr.ru/View.aspx?id=EDA24abnmCmHHM20ptrxwA%3d%3d" TargetMode="External"/><Relationship Id="rId12" Type="http://schemas.openxmlformats.org/officeDocument/2006/relationships/hyperlink" Target="https://pravopmr.ru/View.aspx?id=lJKXMSYCzDSlgD25y5mC9A%3d%3d" TargetMode="External"/><Relationship Id="rId17" Type="http://schemas.openxmlformats.org/officeDocument/2006/relationships/hyperlink" Target="https://pravopmr.ru/View.aspx?id=fK52lMUNFFEw1Yw%2f0zt6Uw%3d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pmr.ru/View.aspx?id=kHpGVxqPWQQHXd5LPTE9EQ%3d%3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pmr.ru/View.aspx?id=RHbeiuopYyTLYDW2ZGGkDg%3d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pmr.ru/View.aspx?id=5dR9GzfKRQ3ya32e1fXQKg%3d%3d" TargetMode="External"/><Relationship Id="rId10" Type="http://schemas.openxmlformats.org/officeDocument/2006/relationships/hyperlink" Target="https://pravopmr.ru/View.aspx?id=E%2ffqUJ62pxd7E%2blN3H7w0g%3d%3d" TargetMode="External"/><Relationship Id="rId19" Type="http://schemas.openxmlformats.org/officeDocument/2006/relationships/hyperlink" Target="https://pravopmr.ru/View.aspx?id=vRHViiCmY1crPQ5g8NY3ow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VJM%2fQBYZwozFGMPfOWoIgg%3d%3d" TargetMode="External"/><Relationship Id="rId14" Type="http://schemas.openxmlformats.org/officeDocument/2006/relationships/hyperlink" Target="https://pravopmr.ru/View.aspx?id=xi2ns4dx1jPTWY9kEIMrVw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</cp:lastModifiedBy>
  <cp:revision>8</cp:revision>
  <dcterms:created xsi:type="dcterms:W3CDTF">2024-04-11T10:16:00Z</dcterms:created>
  <dcterms:modified xsi:type="dcterms:W3CDTF">2024-05-03T11:31:00Z</dcterms:modified>
</cp:coreProperties>
</file>