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E523" w14:textId="0DF4A44C" w:rsidR="00320198" w:rsidRDefault="00B94506" w:rsidP="001A43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</w:rPr>
        <w:t xml:space="preserve"> </w:t>
      </w:r>
      <w:r w:rsidR="00320198" w:rsidRPr="001A43F0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</w:rPr>
        <w:t>ПРИКАЗ</w:t>
      </w:r>
    </w:p>
    <w:p w14:paraId="68ACE48D" w14:textId="77777777" w:rsidR="00B94506" w:rsidRPr="00B94506" w:rsidRDefault="00B94506" w:rsidP="00B945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</w:rPr>
        <w:t>МИНИСТЕРСТВА ЗДРАВООХРАНЕНИЯ</w:t>
      </w:r>
    </w:p>
    <w:p w14:paraId="4BC8F0A1" w14:textId="77777777" w:rsidR="00B94506" w:rsidRPr="00B94506" w:rsidRDefault="00B94506" w:rsidP="00B945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</w:rPr>
        <w:t>ПРИДНЕСТРОВСКОЙ МОЛДАВСКОЙ РЕСПУБЛИКИ</w:t>
      </w:r>
    </w:p>
    <w:p w14:paraId="5D98A5A3" w14:textId="77777777" w:rsidR="00B94506" w:rsidRPr="00B94506" w:rsidRDefault="00B94506" w:rsidP="00B945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14:paraId="76C4308B" w14:textId="035E8ECB" w:rsidR="00B94506" w:rsidRPr="00B94506" w:rsidRDefault="00B94506" w:rsidP="00B945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Об утверждении Порядка учета граждан Приднестровской Молдавской Республики,</w:t>
      </w:r>
    </w:p>
    <w:p w14:paraId="5F873F74" w14:textId="77777777" w:rsidR="00B94506" w:rsidRPr="00B94506" w:rsidRDefault="00B94506" w:rsidP="00B945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нуждающихся в оказании высокотехнологичной специализированной медицинской</w:t>
      </w:r>
    </w:p>
    <w:p w14:paraId="629A21D3" w14:textId="74AB196E" w:rsidR="00B94506" w:rsidRPr="00B94506" w:rsidRDefault="00B94506" w:rsidP="00B945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помощи по эндопротезированию тазобедренных суставов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</w:p>
    <w:p w14:paraId="49D6E25F" w14:textId="77777777" w:rsidR="00B94506" w:rsidRPr="00B94506" w:rsidRDefault="00B94506" w:rsidP="00B945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14:paraId="4E108FF1" w14:textId="44173847" w:rsidR="00B94506" w:rsidRPr="00B94506" w:rsidRDefault="00B94506" w:rsidP="00B945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Зарегистрирован Министерством юстиции</w:t>
      </w:r>
    </w:p>
    <w:p w14:paraId="6C6EE6CA" w14:textId="77777777" w:rsidR="00B94506" w:rsidRPr="00B94506" w:rsidRDefault="00B94506" w:rsidP="00B945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Приднестровской Молдавской Республики 23 ноября 2021 г.</w:t>
      </w:r>
    </w:p>
    <w:p w14:paraId="1637F7B8" w14:textId="7598D634" w:rsidR="00B94506" w:rsidRDefault="00B94506" w:rsidP="00B945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Регистрационный № 10654</w:t>
      </w:r>
    </w:p>
    <w:p w14:paraId="40DC6E99" w14:textId="77777777" w:rsidR="00B94506" w:rsidRDefault="00B94506" w:rsidP="00B945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14:paraId="7FE3ACF3" w14:textId="0E531BD9" w:rsidR="00B94506" w:rsidRPr="00B94506" w:rsidRDefault="00B94506" w:rsidP="00B945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Редакция на 27 января 2023 года</w:t>
      </w:r>
    </w:p>
    <w:p w14:paraId="33DB347C" w14:textId="77777777" w:rsidR="00B94506" w:rsidRDefault="00B94506" w:rsidP="001A43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14:paraId="752BE9D5" w14:textId="7AA1F313" w:rsid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 соответствии с Законом Приднестровской Молдавской Республики от 16 января 1997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года № 29-3 «Об основах охраны здоровья граждан» (СЗМР 97-1), Постановлением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Правительства Приднестровской Молдавской Республики от 27 июня 2014 года № 178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«Об особенностях направления на лечение, консультации или обследование граждан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Приднестровской Молдавской Республики за пределами республики и оплаты связанных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 этим расходов» (САЗ 14-27) с изменениями и дополнениями, внесенными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постановлениями Правительства Приднестровской Молдавской Республики от 29 марта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2018 года № 92 (САЗ 18-13), от 17 сентября 2018 года № 322 (САЗ 18-38), от 27 декабря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2018 года № 468 (САЗ 18-52), от 3 марта 2020 года № 51 (САЗ 20-10), от 18 марта 2021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года №86 (САЗ 21-11), Постановлением Правительства Приднестровской Молдавской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Республики от 6 апреля 2017 года № 60 «Об утверждении Положения, структуры и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предельной штатной численности Министерства здравоохранения Приднестровской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Молдавской Республики» (САЗ 17-15) с изменениями и дополнениями, внесенными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постановлениями Правительства Приднестровской Молдавской Республики от 14 июня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2017 года № 148 (САЗ 17-25), от 7 декабря 2017 года № 334 (САЗ 17-50), от 17 октября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2018 года № 352 (САЗ 18-42), от 14 декабря 2018 года № 448 (САЗ 18-51), от 26 апреля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2019 года № 143 (САЗ 19-17), от 15 ноября 2019 № 400 (САЗ 19-44), от 29 сентября 2020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года № 330 (САЗ 20-40), от 22 октября 2020 года № 364 (САЗ 20-43), от 8 декабря 2020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года № 433 (САЗ 20-50), от 25 января 2021 года № 19 (САЗ 21-4), Приказом Министерства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здравоохранения Приднестровской Молдавской Республики от 2 ноября 2013 года № 543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«Об утверждении Положения о Республиканской комиссии по направлению граждан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Приднестровской Молдавской Республики на лечение, консультацию или обследование за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пределы республики и Порядка направления граждан Приднестровской Молдавской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Республики на лечение, консультацию или обследование за пределы республики»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(регистрационный № 6642 от 16 декабря 2013 года) (САЗ 13-50) с изменениями и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дополнениями, внесенными приказами Министерства здравоохранения Приднестровской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Молдавской Республики от 20 января 2014 года № 33 (регистрационный № 6709 от 13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февраля 2014 года) (САЗ 14-7), от 1 марта 2017 года № 112 (регистрационный № 7776 от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24 марта 2017 года) (САЗ 17-11), в целях установления порядка учета граждан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Приднестровской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Молдавской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Республики,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нуждающихся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оказании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высокотехнологичной специализированной медицинской помощи по эндопротезированию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тазобедренных суставов за пределами 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республики, приказываю:</w:t>
      </w:r>
    </w:p>
    <w:p w14:paraId="70300235" w14:textId="77777777" w:rsidR="00837ACB" w:rsidRPr="00B94506" w:rsidRDefault="00837ACB" w:rsidP="00837A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14:paraId="7FCC4B1E" w14:textId="0988CA59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1. Утвердить Порядок учета граждан Приднестровской Молдавской Республики,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нуждающихся в оказании высокотехнологичной специализированной медицинской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помощи по эндопротезированию тазобедренных суставов за пределами республики,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согласно Приложению к настоящему Приказу.</w:t>
      </w:r>
    </w:p>
    <w:p w14:paraId="293C9AEC" w14:textId="023A61F5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2. Ответственность за исполнение настоящего Приказа возложить на руководителей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государственных лечебно-профилактических учреждений.</w:t>
      </w:r>
    </w:p>
    <w:p w14:paraId="1510096F" w14:textId="7777777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3. Контроль за исполнением настоящего Приказа оставляю за собой.</w:t>
      </w:r>
    </w:p>
    <w:p w14:paraId="65E44532" w14:textId="0CD14DE0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4. Направить настоящий Приказ на государственную регистрацию и официальное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опубликование в Министерство юстиции Приднестровской Молдавской Республики.</w:t>
      </w:r>
    </w:p>
    <w:p w14:paraId="7B977B68" w14:textId="62CF7F87" w:rsid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lastRenderedPageBreak/>
        <w:t>5. Настоящий Приказ вступает в силу со дня, следующего за днем его официального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опубликования.</w:t>
      </w:r>
    </w:p>
    <w:p w14:paraId="6A031ACB" w14:textId="77777777" w:rsidR="00837ACB" w:rsidRPr="00B94506" w:rsidRDefault="00837ACB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14:paraId="7D66473B" w14:textId="34B40DFE" w:rsidR="00B94506" w:rsidRDefault="00B94506" w:rsidP="00B945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Министр 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К. АЛБУЛ</w:t>
      </w:r>
    </w:p>
    <w:p w14:paraId="0B9CD439" w14:textId="77777777" w:rsidR="00837ACB" w:rsidRPr="00B94506" w:rsidRDefault="00837ACB" w:rsidP="00B945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14:paraId="57C790F4" w14:textId="77777777" w:rsidR="00B94506" w:rsidRPr="00B94506" w:rsidRDefault="00B94506" w:rsidP="00B945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г. Тирасполь</w:t>
      </w:r>
    </w:p>
    <w:p w14:paraId="1E10B77C" w14:textId="77777777" w:rsidR="00B94506" w:rsidRPr="00B94506" w:rsidRDefault="00B94506" w:rsidP="00B945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15 октября 2021 г.</w:t>
      </w:r>
    </w:p>
    <w:p w14:paraId="025BD788" w14:textId="77777777" w:rsidR="00B94506" w:rsidRDefault="00B94506" w:rsidP="00B945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№ 760-ОД</w:t>
      </w:r>
    </w:p>
    <w:p w14:paraId="2A63E53B" w14:textId="77777777" w:rsidR="00837ACB" w:rsidRPr="00B94506" w:rsidRDefault="00837ACB" w:rsidP="00B945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14:paraId="18683AD3" w14:textId="7777777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Приложение к Приказу</w:t>
      </w:r>
    </w:p>
    <w:p w14:paraId="71A56FE4" w14:textId="7777777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Министерства здравоохранения</w:t>
      </w:r>
    </w:p>
    <w:p w14:paraId="72C27A5B" w14:textId="7777777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Приднестровской Молдавской Республики</w:t>
      </w:r>
    </w:p>
    <w:p w14:paraId="29DCF111" w14:textId="77777777" w:rsidR="00B94506" w:rsidRDefault="00B94506" w:rsidP="00837AC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от 15 октября 2021 года № 760-ОД</w:t>
      </w:r>
    </w:p>
    <w:p w14:paraId="0DDB27D0" w14:textId="77777777" w:rsidR="00837ACB" w:rsidRPr="00B94506" w:rsidRDefault="00837ACB" w:rsidP="00B945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14:paraId="1C18E455" w14:textId="7777777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Порядок учета граждан Приднестровской Молдавской Республики, нуждающихся в</w:t>
      </w:r>
    </w:p>
    <w:p w14:paraId="01FC4B7A" w14:textId="7777777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оказании высокотехнологичной специализированной медицинской помощи по</w:t>
      </w:r>
    </w:p>
    <w:p w14:paraId="46E83C72" w14:textId="57826EE2" w:rsidR="00B94506" w:rsidRDefault="00B94506" w:rsidP="00837A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эндопротезированию тазобедренных суставов 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</w:p>
    <w:p w14:paraId="427678FF" w14:textId="77777777" w:rsidR="00837ACB" w:rsidRPr="00B94506" w:rsidRDefault="00837ACB" w:rsidP="00B945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14:paraId="2DC268B5" w14:textId="4BA7AF8E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1. Настоящий Порядок определяет показания, противопоказания к оказанию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высокотехнологичной специализированной медицинской помощи по эндопротезированию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тазобедренных суставов, а также учет (ведения очередности) граждан Приднестровской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Молдавской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Республики,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нуждающихся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оказании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высокотехнологичной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специализированной медицинской помощи по эндопротезированию тазобедренных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суставов за пределами республики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,</w:t>
      </w:r>
      <w:r w:rsidR="00837ACB" w:rsidRPr="00837ACB">
        <w:t xml:space="preserve"> </w:t>
      </w:r>
      <w:r w:rsidR="00837ACB"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а также в государственном учреждении «Республиканская клиническая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="00837ACB"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больница»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(далее – пациент).</w:t>
      </w:r>
    </w:p>
    <w:p w14:paraId="635AC41C" w14:textId="0025E049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2. Пациент с диагностированной патологией тазобедренных суставов для определения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медицинских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показаний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к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оказанию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высокотехнологичной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специализированной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медицинской помощи по эндопротезированию тазобедренных суставов и последующей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постановки на диспансерный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учет обращается к врачу-травматологу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лечебно-профилактического учреждения по месту жительства (далее – врач-травматолог).</w:t>
      </w:r>
    </w:p>
    <w:p w14:paraId="7A4820DD" w14:textId="58ED4036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3. Для определения медицинских показаний к оказанию высокотехнологичной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специализированной медицинской помощи по эндопротезированию тазобедренных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proofErr w:type="gramStart"/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суставов 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п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ациент</w:t>
      </w:r>
      <w:proofErr w:type="gramEnd"/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обращается в лечебно-профилактическое учреждение в рамках оказания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первичной специализированной медико-санитарной помощи и (или) специализированной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медицинской помощи.</w:t>
      </w:r>
    </w:p>
    <w:p w14:paraId="56741692" w14:textId="158C2FCD" w:rsidR="00B94506" w:rsidRPr="00B94506" w:rsidRDefault="00837ACB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4. Для верификации клинического диагноза, определения медицинских показаний к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оказанию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высокотехнологичной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специализированной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медицинской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помощи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по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эндопротезированию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тазобедренных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суставов,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пациент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по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направлению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врача-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травматолога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(травматолога-ортопеда)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лечебно-профилактического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учреждения,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указанного в пункте 3 настоящего Порядка, обращается в отделение смешанной травмы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государственного учреждения «Республиканская клиническая больница», в условиях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которого в отношении пациента проводится комиссионный осмотр с привлечением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главного внештатного травматолога Министерства здравоохранения Приднестровской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Молдавской Республики, еженедельно по понедельникам с 11 часов до 13 часов.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</w:p>
    <w:p w14:paraId="2DBB7874" w14:textId="1EE0C81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5. Медицинскими показаниями для направления на оказание высокотехнологичной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специализированной медицинской помощи по эндопротезированию тазобедренных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суставов 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я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вляется наличие у пациента заболевания и (или) состояния, требующие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применения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высокотехнологичной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специализированной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медицинской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помощи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соответствии с Перечнем показаний к эндопротезированию тазобедренных суставов,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установленным в Приложении № 1 к настоящему Порядку.</w:t>
      </w:r>
    </w:p>
    <w:p w14:paraId="184CF150" w14:textId="58222375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6.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Наличие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медицинских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показаний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к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оказанию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высокотехнологичной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специализированной медицинской помощи по эндопротезированию тазобедренных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суставов подтверждается решением врачебно-консультационной комиссии лечебно-профилактического учреждения, указанного в пункте 4 настоящего Порядка, которое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оформляется протоколом и вносится в медицинскую документацию пациента.</w:t>
      </w:r>
    </w:p>
    <w:p w14:paraId="7D88E107" w14:textId="31C4B6D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lastRenderedPageBreak/>
        <w:t>7.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Включение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пациента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список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пациентов,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нуждающихся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оказании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высокотехнологичной специализированной медицинской помощи по эндопротезированию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тазобедренных суставов (далее – список)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осуществляется врачом-травматологом после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определения наличия медицинских показаний к оказанию высокотехнологичной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специализированной медицинской помощи по эндопротезированию тазобедренных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суставов.</w:t>
      </w:r>
    </w:p>
    <w:p w14:paraId="5CA04287" w14:textId="29DF1688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8. Ознакомление пациента с порядковым номером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 списке осуществляется врачом-травматологом под личную подпись с отражением факта ознакомления в медицинской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документации пациента, а также в Журнале ознакомления больных с порядком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направления на лечение, консультацию, обследование за пределы Приднестровской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Молдавской Республики, а также порядком оплаты расходов, связанных с лечением,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консультацией или обследованием за пределами республики, форма которого утверждена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Приказом Министерства здравоохранения Приднестровской Молдавской Республики от 2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ноября 2013 года № 543 «Об утверждении Положения о Республиканской комиссии по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направлению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граждан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Приднестровской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Молдавской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Республики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на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лечение,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консультацию или обследование за пределы республики и Порядка направления граждан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Приднестровской Молдавской Республики на лечение, консультацию или обследование за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пределы республики» (регистрационный № 6642 от 16 декабря 2013 года) (САЗ 13-50) с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изменениями и дополнениями, внесенными приказами Министерства здравоохранения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Приднестровской Молдавской Республики от 20 января 2014 года № 33 (регистрационный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№ 6709 от 13 февраля 2014 года) (САЗ 14-7), от 1 марта 2017 года № 112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(регистрационный № 7776 от 24 марта 2017 года) (САЗ 17-11) (далее – Приказ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Министерства здравоохранения Приднестровской Молдавской Республики от 2 ноября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2013 года № 543)</w:t>
      </w:r>
    </w:p>
    <w:p w14:paraId="64AF631A" w14:textId="6D0CCDC6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9. Список формируется также и в электронном виде и находится у руководителей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лечебно-профилактических учреждений. При желании пациенты имеют право лично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ознакомиться со своим порядковым номером в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списке.</w:t>
      </w:r>
    </w:p>
    <w:p w14:paraId="0F54189D" w14:textId="296FA652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10. При подходе очереди пациента, врач-травматолог лечебно-профилактического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учреждения, в котором пациент состоит на диспансерном учете по поводу патологии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тазобедренных суставов, проходит диагностику и лечение в рамках оказания первичной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специализированной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медико-санитарной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помощи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и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(или)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специализированной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медицинской помощи (далее - направляющая медицинская организация), оформляет пакет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необходимых медицинских документов для представления на заседании Республиканской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комиссии по направлению граждан Приднестровской Молдавской Республики на лечение,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консультацию или обследование за пределы республики согласно требованиям,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установленным Приказом Министерства здравоохранения Приднестровской Молдавской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Республики от 2 ноября 2013 года № 543.</w:t>
      </w:r>
    </w:p>
    <w:p w14:paraId="2886C3C0" w14:textId="681BFFAC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11.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При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определении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у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пациента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медицинских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противопоказаний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к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эндопротезированию тазобедренных суставов согласно Приложению № 2 к настоящему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Порядку пациент информируется о вынесенном решении врачом-травматологом под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личную подпись с отражением в медицинской документации пациента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информации об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отказе в направлении на лечение за пределы республики по причине наличия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противопоказаний к оказанию высокотехнологичной специализированной медицинской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помощи по эндопротезированию тазобедренных суставов.</w:t>
      </w:r>
    </w:p>
    <w:p w14:paraId="4ECAD3CF" w14:textId="45659F0A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12. После вынесения решения Республиканской комиссией по направлению граждан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Приднестровской Молдавской Республики на лечение, консультацию или обследование за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пределы республики и проведения оперативного вмешательства по эндопротезированию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тазобедренных суставов в соответствующей иностранной медицинской организации за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пределами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республики,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врач-травматолог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делает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запись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медицинской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карте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амбулаторного больного с отражением информации о проведении операции с указанием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стороны поражения.</w:t>
      </w:r>
    </w:p>
    <w:p w14:paraId="562C96AC" w14:textId="7777777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13. Исключение пациентов из списка осуществляется врачом-травматологом:</w:t>
      </w:r>
    </w:p>
    <w:p w14:paraId="079D2299" w14:textId="7777777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а) после оказанной необходимой медицинской помощи за пределами республики;</w:t>
      </w:r>
    </w:p>
    <w:p w14:paraId="1C2F36D0" w14:textId="340307C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б) в случае выявления у пациента противопоказаний к эндопротезированию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тазобедренных суставов;</w:t>
      </w:r>
    </w:p>
    <w:p w14:paraId="5A5686C7" w14:textId="7777777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в) при выезде пациента на постоянное место жительства в другое государство;</w:t>
      </w:r>
    </w:p>
    <w:p w14:paraId="447D697E" w14:textId="7777777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г) в случае смерти пациента.</w:t>
      </w:r>
    </w:p>
    <w:p w14:paraId="212CC7D5" w14:textId="51BB9C61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14. При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одностороннем поражении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тазобедренного сустава пациент после оказанной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lastRenderedPageBreak/>
        <w:t>необходимой медицинской помощи за пределами республики в отношении пораженного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сустава исключается из списка.</w:t>
      </w:r>
    </w:p>
    <w:p w14:paraId="4596896E" w14:textId="41BE0928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При двустороннем поражении тазобедренных суставов пациент после оказанной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необходимой медицинской помощи за пределами республики в отношении одного сустава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исключается из списка и информируется врачом-травматологом о том, что он имеет право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на повторное включение в список.</w:t>
      </w:r>
    </w:p>
    <w:p w14:paraId="70EDDCE7" w14:textId="78A67C15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15. Для повторного включения в список в отношении второго сустава пациент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самостоятельно обращается к врачу-травматологу. Включение в список в данном случае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осуществляется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не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ранее,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чем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через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6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(шесть)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месяцев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после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проведения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эндопротезирования первого тазобедренного сустава.</w:t>
      </w:r>
    </w:p>
    <w:p w14:paraId="6D3C619F" w14:textId="5DA57E4F" w:rsidR="00B94506" w:rsidRPr="00B94506" w:rsidRDefault="00B94506" w:rsidP="006861E4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16. Пациент имеет право отказаться от лечения по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эндопротезированию тазобедренных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суставов за пределами республики за счет средств республиканского бюджета и пройти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хирургическое лечение самостоятельно за счет личных средств. В таком случае он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исключается из списка, о чем врач-травматолог делает соответствующую запись в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медицинской карте амбулаторного больного.</w:t>
      </w:r>
    </w:p>
    <w:p w14:paraId="38C94298" w14:textId="77777777" w:rsidR="00837ACB" w:rsidRDefault="00837ACB" w:rsidP="00B945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14:paraId="4079F218" w14:textId="5B21BFD5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Приложение № 1 к Порядку</w:t>
      </w:r>
    </w:p>
    <w:p w14:paraId="21495AC3" w14:textId="7777777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учета граждан Приднестровской Молдавской Республики,</w:t>
      </w:r>
    </w:p>
    <w:p w14:paraId="162BAEBA" w14:textId="7777777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нуждающихся в оказании высокотехнологичной</w:t>
      </w:r>
    </w:p>
    <w:p w14:paraId="24DADEC7" w14:textId="7777777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специализированной медицинской помощи по эндопротезированию</w:t>
      </w:r>
    </w:p>
    <w:p w14:paraId="7BA13D86" w14:textId="69C5AC3B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тазобедренных суставов 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</w:p>
    <w:p w14:paraId="2910125C" w14:textId="77777777" w:rsidR="00837ACB" w:rsidRDefault="00837ACB" w:rsidP="00B945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14:paraId="0C779A94" w14:textId="77777777" w:rsidR="00837ACB" w:rsidRDefault="00837ACB" w:rsidP="00837A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Перечень показаний к эндопротезированию тазобедренных суставов</w:t>
      </w:r>
    </w:p>
    <w:p w14:paraId="0C07CAAE" w14:textId="77777777" w:rsidR="00837ACB" w:rsidRPr="00837ACB" w:rsidRDefault="00837ACB" w:rsidP="00837A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14:paraId="7DA2F338" w14:textId="33E5B203" w:rsidR="00837ACB" w:rsidRPr="00837ACB" w:rsidRDefault="00837ACB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1. Перечень медицинских показаний к эндопротезированию тазобедренных суставов в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условиях отделения смешанной травмы государственного учреждения «Республиканская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клиническая больница»:</w:t>
      </w:r>
    </w:p>
    <w:p w14:paraId="6F59AF71" w14:textId="77777777" w:rsidR="00837ACB" w:rsidRPr="00837ACB" w:rsidRDefault="00837ACB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а) перелом шейки бедренной кости у пожилых пациентов старше 60 (шестидесяти) лет;</w:t>
      </w:r>
    </w:p>
    <w:p w14:paraId="5EAC64E1" w14:textId="77777777" w:rsidR="00837ACB" w:rsidRPr="00837ACB" w:rsidRDefault="00837ACB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б) асептический некроз головки бедренной кости 3-4 степени;</w:t>
      </w:r>
    </w:p>
    <w:p w14:paraId="16A6FC0F" w14:textId="77777777" w:rsidR="00837ACB" w:rsidRPr="00837ACB" w:rsidRDefault="00837ACB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в) ложный сустав шейки бедренной кости;</w:t>
      </w:r>
    </w:p>
    <w:p w14:paraId="1F2089A4" w14:textId="77777777" w:rsidR="00837ACB" w:rsidRPr="00837ACB" w:rsidRDefault="00837ACB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г) деформирующий коксартроз 3-4 степени.</w:t>
      </w:r>
    </w:p>
    <w:p w14:paraId="31355452" w14:textId="0ACD919A" w:rsidR="00837ACB" w:rsidRPr="00837ACB" w:rsidRDefault="00837ACB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2. Перечень показаний к эндопротезированию тазобедренных суставов за пределами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республики:</w:t>
      </w:r>
    </w:p>
    <w:p w14:paraId="5CE596F3" w14:textId="3484ABA2" w:rsidR="00837ACB" w:rsidRPr="00837ACB" w:rsidRDefault="00837ACB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а) дегенеративно-дистрофические заболевания тазобедренного сустава с выраженным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болевым синдромом и нарушением функции конечности;</w:t>
      </w:r>
    </w:p>
    <w:p w14:paraId="13AE8F52" w14:textId="22322648" w:rsidR="00837ACB" w:rsidRPr="00837ACB" w:rsidRDefault="00837ACB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б)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врожденные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аномалии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развития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(врожденный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вывих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бедра,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дисплазия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тазобедренного сустава, </w:t>
      </w:r>
      <w:proofErr w:type="spellStart"/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дисхондроплазия</w:t>
      </w:r>
      <w:proofErr w:type="spellEnd"/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тазобедренного сустава);</w:t>
      </w:r>
    </w:p>
    <w:p w14:paraId="2ABCEF98" w14:textId="77777777" w:rsidR="00837ACB" w:rsidRPr="00837ACB" w:rsidRDefault="00837ACB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в) посттравматические деформации тазобедренного сустава;</w:t>
      </w:r>
    </w:p>
    <w:p w14:paraId="2D40538A" w14:textId="77777777" w:rsidR="00837ACB" w:rsidRPr="00837ACB" w:rsidRDefault="00837ACB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г) диспластические заболевания тазобедренного сустава;</w:t>
      </w:r>
    </w:p>
    <w:p w14:paraId="17D1AD40" w14:textId="77777777" w:rsidR="00837ACB" w:rsidRPr="00837ACB" w:rsidRDefault="00837ACB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д) специфические заболевания тазобедренного сустава;</w:t>
      </w:r>
    </w:p>
    <w:p w14:paraId="61F03B1A" w14:textId="77777777" w:rsidR="00837ACB" w:rsidRPr="00837ACB" w:rsidRDefault="00837ACB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е) онкологические заболевания тазобедренного сустава;</w:t>
      </w:r>
    </w:p>
    <w:p w14:paraId="1949EDA6" w14:textId="73AEF89A" w:rsidR="00837ACB" w:rsidRDefault="00837ACB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ж) последствия тяжелых повреждений таза, с вовлечением вертлужной впадины и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проксимального отдела бедренной кости.</w:t>
      </w:r>
    </w:p>
    <w:p w14:paraId="50730620" w14:textId="77777777" w:rsidR="00837ACB" w:rsidRDefault="00837ACB" w:rsidP="00B945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14:paraId="10E0FE74" w14:textId="2239D59A" w:rsidR="00B94506" w:rsidRPr="00B94506" w:rsidRDefault="00837ACB" w:rsidP="00B945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</w:p>
    <w:p w14:paraId="228E582C" w14:textId="7777777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Приложение № 2 к Порядку</w:t>
      </w:r>
    </w:p>
    <w:p w14:paraId="49D95405" w14:textId="7777777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учета граждан Приднестровской Молдавской Республики,</w:t>
      </w:r>
    </w:p>
    <w:p w14:paraId="31791AF6" w14:textId="7777777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нуждающихся в оказании высокотехнологичной</w:t>
      </w:r>
    </w:p>
    <w:p w14:paraId="0E0C0C5D" w14:textId="7777777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специализированной медицинской помощи по эндопротезированию</w:t>
      </w:r>
    </w:p>
    <w:p w14:paraId="7F42F9B6" w14:textId="47183D53" w:rsidR="00B94506" w:rsidRDefault="00B94506" w:rsidP="00837AC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тазобедренных суставов </w:t>
      </w:r>
      <w:r w:rsidR="00837AC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</w:p>
    <w:p w14:paraId="6D0FFA0A" w14:textId="77777777" w:rsidR="00837ACB" w:rsidRPr="00B94506" w:rsidRDefault="00837ACB" w:rsidP="00B945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14:paraId="4772C895" w14:textId="77777777" w:rsidR="00B94506" w:rsidRDefault="00B94506" w:rsidP="00837A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Перечень противопоказаний к эндопротезированию тазобедренных суставов</w:t>
      </w:r>
    </w:p>
    <w:p w14:paraId="07AAC477" w14:textId="77777777" w:rsidR="00837ACB" w:rsidRPr="00B94506" w:rsidRDefault="00837ACB" w:rsidP="00B945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14:paraId="1985D393" w14:textId="7777777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1. Абсолютные противопоказания:</w:t>
      </w:r>
    </w:p>
    <w:p w14:paraId="6DD3EAFE" w14:textId="4FDDC2B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а) невозможность самостоятельного передвижения; тяжелые хронические заболевания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lastRenderedPageBreak/>
        <w:t>сердечно-сосудистой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системы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(</w:t>
      </w:r>
      <w:proofErr w:type="spellStart"/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декомпенсированые</w:t>
      </w:r>
      <w:proofErr w:type="spellEnd"/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пороки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сердца,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сердечная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недостаточность 3 степени, сложные расстройства сердечного ритма, нарушение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проводимости, атриовентрикулярная блокада 3 степени с нарушением гемодинамики,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proofErr w:type="spellStart"/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трехпучковая</w:t>
      </w:r>
      <w:proofErr w:type="spellEnd"/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блокада); тромбофлебит в стадии обострения; патология внешнего дыхания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 хронической дыхательной недостаточностью 2-3 степени;</w:t>
      </w:r>
    </w:p>
    <w:p w14:paraId="5239F1CB" w14:textId="2030878C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б) воспалительный процесс в области тазобедренного сустава; </w:t>
      </w:r>
      <w:proofErr w:type="spellStart"/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несанированые</w:t>
      </w:r>
      <w:proofErr w:type="spellEnd"/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очаги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хронической инфекции;</w:t>
      </w:r>
    </w:p>
    <w:p w14:paraId="13FDDD14" w14:textId="7777777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в) перенесенный сепсис;</w:t>
      </w:r>
    </w:p>
    <w:p w14:paraId="2BDDE1D9" w14:textId="516681EE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г)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гемипарез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на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стороне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планируемой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операции;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выраженная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proofErr w:type="spellStart"/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остеопения</w:t>
      </w:r>
      <w:proofErr w:type="spellEnd"/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;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proofErr w:type="spellStart"/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полиаллергия</w:t>
      </w:r>
      <w:proofErr w:type="spellEnd"/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;</w:t>
      </w:r>
    </w:p>
    <w:p w14:paraId="7A2DFC1F" w14:textId="7777777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д) отсутствие костномозгового канала бедренной кости;</w:t>
      </w:r>
    </w:p>
    <w:p w14:paraId="75FE1F06" w14:textId="035C4BEB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е) психические или нейромышечные расстройства, которые повышают риск различных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расстройств и нарушений в послеоперационном периоде.</w:t>
      </w:r>
    </w:p>
    <w:p w14:paraId="30F92077" w14:textId="77777777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2. Относительные противопоказания:</w:t>
      </w:r>
    </w:p>
    <w:p w14:paraId="44662BD5" w14:textId="541E9BE4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а) онкологические заболевания; отсутствие убеждения у самого больного в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необходимости операции и неготовность его к плану послеоперационной реабилитации;</w:t>
      </w:r>
    </w:p>
    <w:p w14:paraId="53E168CB" w14:textId="4112A43B" w:rsidR="00B94506" w:rsidRP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б) обострение или декомпенсация хронических соматических заболеваний; печеночная</w:t>
      </w:r>
      <w:r w:rsidR="006861E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недостаточность; гормональная остеопатия;</w:t>
      </w:r>
    </w:p>
    <w:p w14:paraId="74BBEAAF" w14:textId="097E22DE" w:rsid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9450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в) ожирение 2-3 степени.</w:t>
      </w:r>
    </w:p>
    <w:p w14:paraId="4C19F50B" w14:textId="63FD780B" w:rsidR="00320198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</w:p>
    <w:p w14:paraId="4444C320" w14:textId="77777777" w:rsidR="00B94506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14:paraId="6BD3FD90" w14:textId="77777777" w:rsidR="00B94506" w:rsidRPr="001A43F0" w:rsidRDefault="00B94506" w:rsidP="00837AC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14:paraId="691B7561" w14:textId="77777777" w:rsidR="00B03F0D" w:rsidRPr="001A43F0" w:rsidRDefault="00B03F0D" w:rsidP="001A43F0">
      <w:pPr>
        <w:widowControl w:val="0"/>
        <w:suppressAutoHyphens/>
        <w:autoSpaceDN w:val="0"/>
        <w:spacing w:after="0" w:line="240" w:lineRule="auto"/>
        <w:ind w:right="-284"/>
        <w:jc w:val="right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14:paraId="1FCC3517" w14:textId="77777777" w:rsidR="00B03F0D" w:rsidRPr="001A43F0" w:rsidRDefault="00B03F0D" w:rsidP="001A43F0">
      <w:pPr>
        <w:widowControl w:val="0"/>
        <w:suppressAutoHyphens/>
        <w:autoSpaceDN w:val="0"/>
        <w:spacing w:after="0" w:line="240" w:lineRule="auto"/>
        <w:ind w:right="-284"/>
        <w:jc w:val="right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14:paraId="1B6ADB31" w14:textId="023ADBD9" w:rsidR="001F259D" w:rsidRPr="001A43F0" w:rsidRDefault="00837ACB" w:rsidP="001A43F0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</w:p>
    <w:sectPr w:rsidR="001F259D" w:rsidRPr="001A43F0" w:rsidSect="00820851">
      <w:pgSz w:w="11906" w:h="16838"/>
      <w:pgMar w:top="567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659E"/>
    <w:multiLevelType w:val="hybridMultilevel"/>
    <w:tmpl w:val="5EA67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D26"/>
    <w:multiLevelType w:val="hybridMultilevel"/>
    <w:tmpl w:val="9528C7A4"/>
    <w:lvl w:ilvl="0" w:tplc="BE007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6D332D"/>
    <w:multiLevelType w:val="hybridMultilevel"/>
    <w:tmpl w:val="070E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9716C"/>
    <w:multiLevelType w:val="hybridMultilevel"/>
    <w:tmpl w:val="857C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0FEE"/>
    <w:multiLevelType w:val="hybridMultilevel"/>
    <w:tmpl w:val="2628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42438"/>
    <w:multiLevelType w:val="hybridMultilevel"/>
    <w:tmpl w:val="7ADE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C7C71"/>
    <w:multiLevelType w:val="hybridMultilevel"/>
    <w:tmpl w:val="19CA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15673"/>
    <w:multiLevelType w:val="multilevel"/>
    <w:tmpl w:val="79C4B54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E22197"/>
    <w:multiLevelType w:val="hybridMultilevel"/>
    <w:tmpl w:val="B352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13526">
    <w:abstractNumId w:val="5"/>
  </w:num>
  <w:num w:numId="2" w16cid:durableId="969748780">
    <w:abstractNumId w:val="7"/>
  </w:num>
  <w:num w:numId="3" w16cid:durableId="562451565">
    <w:abstractNumId w:val="6"/>
  </w:num>
  <w:num w:numId="4" w16cid:durableId="1417289090">
    <w:abstractNumId w:val="2"/>
  </w:num>
  <w:num w:numId="5" w16cid:durableId="249584081">
    <w:abstractNumId w:val="4"/>
  </w:num>
  <w:num w:numId="6" w16cid:durableId="42683030">
    <w:abstractNumId w:val="0"/>
  </w:num>
  <w:num w:numId="7" w16cid:durableId="1894807665">
    <w:abstractNumId w:val="8"/>
  </w:num>
  <w:num w:numId="8" w16cid:durableId="170142560">
    <w:abstractNumId w:val="1"/>
  </w:num>
  <w:num w:numId="9" w16cid:durableId="373430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F7"/>
    <w:rsid w:val="000234F7"/>
    <w:rsid w:val="00041EE8"/>
    <w:rsid w:val="000630C0"/>
    <w:rsid w:val="000D112C"/>
    <w:rsid w:val="001135EC"/>
    <w:rsid w:val="00161E14"/>
    <w:rsid w:val="0016491A"/>
    <w:rsid w:val="00165B79"/>
    <w:rsid w:val="00175589"/>
    <w:rsid w:val="001A43F0"/>
    <w:rsid w:val="001B033B"/>
    <w:rsid w:val="001B09BE"/>
    <w:rsid w:val="001B527F"/>
    <w:rsid w:val="001E2D32"/>
    <w:rsid w:val="001F259D"/>
    <w:rsid w:val="00271E16"/>
    <w:rsid w:val="00285A25"/>
    <w:rsid w:val="002A3CBB"/>
    <w:rsid w:val="00320198"/>
    <w:rsid w:val="003349BF"/>
    <w:rsid w:val="003775E9"/>
    <w:rsid w:val="00377B7A"/>
    <w:rsid w:val="003B47C6"/>
    <w:rsid w:val="003C1EE0"/>
    <w:rsid w:val="003C278A"/>
    <w:rsid w:val="0040152B"/>
    <w:rsid w:val="00494CEC"/>
    <w:rsid w:val="0050489D"/>
    <w:rsid w:val="005078CC"/>
    <w:rsid w:val="00542822"/>
    <w:rsid w:val="005914F7"/>
    <w:rsid w:val="005A2511"/>
    <w:rsid w:val="005B2465"/>
    <w:rsid w:val="005C1590"/>
    <w:rsid w:val="005D39E1"/>
    <w:rsid w:val="005F42A3"/>
    <w:rsid w:val="00663197"/>
    <w:rsid w:val="006812B9"/>
    <w:rsid w:val="006861E4"/>
    <w:rsid w:val="00687865"/>
    <w:rsid w:val="0076776A"/>
    <w:rsid w:val="00782BC2"/>
    <w:rsid w:val="00820851"/>
    <w:rsid w:val="00837ACB"/>
    <w:rsid w:val="00885C03"/>
    <w:rsid w:val="008B4AFF"/>
    <w:rsid w:val="008D7CAB"/>
    <w:rsid w:val="00911450"/>
    <w:rsid w:val="00937F77"/>
    <w:rsid w:val="00952536"/>
    <w:rsid w:val="009A07BC"/>
    <w:rsid w:val="009F77A4"/>
    <w:rsid w:val="00A06E7A"/>
    <w:rsid w:val="00A479A1"/>
    <w:rsid w:val="00A607A6"/>
    <w:rsid w:val="00B03F0D"/>
    <w:rsid w:val="00B11590"/>
    <w:rsid w:val="00B15ABB"/>
    <w:rsid w:val="00B91B90"/>
    <w:rsid w:val="00B94506"/>
    <w:rsid w:val="00BE6FD1"/>
    <w:rsid w:val="00C556A7"/>
    <w:rsid w:val="00C645B2"/>
    <w:rsid w:val="00CF4C05"/>
    <w:rsid w:val="00D172CE"/>
    <w:rsid w:val="00D2587D"/>
    <w:rsid w:val="00D81F5A"/>
    <w:rsid w:val="00E71B2C"/>
    <w:rsid w:val="00E86764"/>
    <w:rsid w:val="00ED40CB"/>
    <w:rsid w:val="00F064DA"/>
    <w:rsid w:val="00F15EE5"/>
    <w:rsid w:val="00F33150"/>
    <w:rsid w:val="00F35BED"/>
    <w:rsid w:val="00F8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E770"/>
  <w15:chartTrackingRefBased/>
  <w15:docId w15:val="{16DEC436-D58C-49D0-891E-6309A3B7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D32"/>
    <w:pPr>
      <w:ind w:left="720"/>
      <w:contextualSpacing/>
    </w:pPr>
  </w:style>
  <w:style w:type="character" w:customStyle="1" w:styleId="2">
    <w:name w:val="Основной текст (2)"/>
    <w:basedOn w:val="a0"/>
    <w:rsid w:val="001E2D3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76776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4">
    <w:name w:val="Normal (Web)"/>
    <w:basedOn w:val="a"/>
    <w:uiPriority w:val="99"/>
    <w:unhideWhenUsed/>
    <w:rsid w:val="0040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30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630C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491A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1F25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65096-AEBD-4E0F-8AA5-BA160E3E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omp6</dc:creator>
  <cp:keywords/>
  <dc:description/>
  <cp:lastModifiedBy>law</cp:lastModifiedBy>
  <cp:revision>2</cp:revision>
  <cp:lastPrinted>2021-09-24T07:59:00Z</cp:lastPrinted>
  <dcterms:created xsi:type="dcterms:W3CDTF">2024-03-05T09:37:00Z</dcterms:created>
  <dcterms:modified xsi:type="dcterms:W3CDTF">2024-03-05T09:37:00Z</dcterms:modified>
</cp:coreProperties>
</file>