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43" w:rsidRPr="00F30EB0" w:rsidRDefault="00412543" w:rsidP="004125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ИЗ </w:t>
      </w: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6C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" o:spid="_x0000_s1026" style="position:absolute;left:0;text-align:left;z-index:251660288;visibility:visible;mso-position-horizontal-relative:text;mso-position-vertical-relative:text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"/>
        </w:pict>
      </w:r>
      <w:r w:rsidRPr="00E46C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4" o:spid="_x0000_s1027" style="position:absolute;left:0;text-align:left;flip:y;z-index:251661312;visibility:visible;mso-position-horizontal-relative:text;mso-position-vertical-relative:text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Vg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"/>
        </w:pict>
      </w:r>
    </w:p>
    <w:p w:rsidR="00412543" w:rsidRPr="006B41E1" w:rsidRDefault="00412543" w:rsidP="004125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46C5E"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3" o:spid="_x0000_s1028" style="position:absolute;left:0;text-align:left;flip:x y;z-index:251662336;visibility:visible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"/>
        </w:pict>
      </w:r>
      <w:r w:rsidRPr="00E46C5E"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2" o:spid="_x0000_s1029" style="position:absolute;left:0;text-align:left;flip:y;z-index:251663360;visibility:visible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S1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"/>
        </w:pict>
      </w:r>
      <w:r w:rsidRPr="006B41E1">
        <w:rPr>
          <w:rFonts w:ascii="Times New Roman" w:eastAsia="Times New Roman" w:hAnsi="Times New Roman" w:cs="Times New Roman"/>
          <w:b/>
          <w:lang w:eastAsia="ru-RU"/>
        </w:rPr>
        <w:t xml:space="preserve">заседания тендерной комиссии </w:t>
      </w:r>
    </w:p>
    <w:p w:rsidR="00412543" w:rsidRPr="006B41E1" w:rsidRDefault="00412543" w:rsidP="004125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B41E1">
        <w:rPr>
          <w:rFonts w:ascii="Times New Roman" w:eastAsia="Times New Roman" w:hAnsi="Times New Roman" w:cs="Times New Roman"/>
          <w:b/>
          <w:lang w:eastAsia="ru-RU"/>
        </w:rPr>
        <w:t xml:space="preserve">Министерства здравоохранения </w:t>
      </w:r>
    </w:p>
    <w:p w:rsidR="00412543" w:rsidRPr="006B41E1" w:rsidRDefault="00412543" w:rsidP="004125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B41E1">
        <w:rPr>
          <w:rFonts w:ascii="Times New Roman" w:eastAsia="Times New Roman" w:hAnsi="Times New Roman" w:cs="Times New Roman"/>
          <w:b/>
          <w:lang w:eastAsia="ru-RU"/>
        </w:rPr>
        <w:t>Приднестровской Молдавской Республики</w:t>
      </w:r>
    </w:p>
    <w:p w:rsidR="00412543" w:rsidRDefault="00412543" w:rsidP="00412543">
      <w:pPr>
        <w:spacing w:after="0" w:line="240" w:lineRule="auto"/>
        <w:jc w:val="center"/>
        <w:rPr>
          <w:rFonts w:ascii="Times New Roman" w:hAnsi="Times New Roman"/>
          <w:b/>
          <w:spacing w:val="4"/>
          <w:sz w:val="24"/>
          <w:szCs w:val="24"/>
        </w:rPr>
      </w:pPr>
      <w:r w:rsidRPr="00217718">
        <w:rPr>
          <w:rFonts w:ascii="Times New Roman" w:hAnsi="Times New Roman"/>
          <w:b/>
          <w:spacing w:val="4"/>
          <w:sz w:val="24"/>
          <w:szCs w:val="24"/>
        </w:rPr>
        <w:t xml:space="preserve">на поставку </w:t>
      </w:r>
      <w:r>
        <w:rPr>
          <w:rFonts w:ascii="Times New Roman" w:hAnsi="Times New Roman"/>
          <w:b/>
          <w:spacing w:val="4"/>
          <w:sz w:val="24"/>
          <w:szCs w:val="24"/>
        </w:rPr>
        <w:t xml:space="preserve">горюче-смазочных материалов: Аи-92, Д/Т, Д/Т Евро для нужд подведомственных лечебно-профилактических учреждений до конца </w:t>
      </w:r>
      <w:r w:rsidRPr="00CC1FA3">
        <w:rPr>
          <w:rFonts w:ascii="Times New Roman" w:hAnsi="Times New Roman"/>
          <w:b/>
          <w:spacing w:val="4"/>
          <w:sz w:val="24"/>
          <w:szCs w:val="24"/>
        </w:rPr>
        <w:t>2019 год</w:t>
      </w:r>
      <w:r>
        <w:rPr>
          <w:rFonts w:ascii="Times New Roman" w:hAnsi="Times New Roman"/>
          <w:b/>
          <w:spacing w:val="4"/>
          <w:sz w:val="24"/>
          <w:szCs w:val="24"/>
        </w:rPr>
        <w:t>а.</w:t>
      </w:r>
    </w:p>
    <w:p w:rsidR="00412543" w:rsidRDefault="00412543" w:rsidP="004125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12543" w:rsidRPr="00F975F2" w:rsidRDefault="00412543" w:rsidP="004125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75F2">
        <w:rPr>
          <w:rFonts w:ascii="Times New Roman" w:hAnsi="Times New Roman" w:cs="Times New Roman"/>
          <w:sz w:val="24"/>
          <w:szCs w:val="24"/>
        </w:rPr>
        <w:t xml:space="preserve">Заседание тендерной комиссии состоялось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06FAC">
        <w:rPr>
          <w:rFonts w:ascii="Times New Roman" w:hAnsi="Times New Roman" w:cs="Times New Roman"/>
          <w:sz w:val="24"/>
          <w:szCs w:val="24"/>
        </w:rPr>
        <w:t xml:space="preserve"> ию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106FAC">
        <w:rPr>
          <w:rFonts w:ascii="Times New Roman" w:hAnsi="Times New Roman" w:cs="Times New Roman"/>
          <w:sz w:val="24"/>
          <w:szCs w:val="24"/>
        </w:rPr>
        <w:t>я</w:t>
      </w:r>
      <w:r w:rsidRPr="00F975F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975F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12543" w:rsidRDefault="00412543" w:rsidP="0041254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12543" w:rsidRPr="00F30EB0" w:rsidRDefault="00412543" w:rsidP="00412543">
      <w:pPr>
        <w:spacing w:after="240" w:line="240" w:lineRule="auto"/>
        <w:ind w:right="-284" w:firstLine="4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412543" w:rsidRDefault="00412543" w:rsidP="00412543">
      <w:pPr>
        <w:spacing w:after="0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bookmarkStart w:id="0" w:name="_Hlk3229811"/>
      <w:r w:rsidRPr="00217718">
        <w:rPr>
          <w:rFonts w:ascii="Times New Roman" w:hAnsi="Times New Roman"/>
          <w:spacing w:val="4"/>
          <w:sz w:val="24"/>
          <w:szCs w:val="24"/>
        </w:rPr>
        <w:t>Поставка</w:t>
      </w:r>
      <w:r w:rsidRPr="001A746B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1A746B">
        <w:rPr>
          <w:rFonts w:ascii="Times New Roman" w:hAnsi="Times New Roman"/>
          <w:spacing w:val="4"/>
          <w:sz w:val="24"/>
          <w:szCs w:val="24"/>
        </w:rPr>
        <w:t>горюче-смазочных материалов: Аи-92, Д/Т, Д/Т Евро для нужд подведомственных лечебно-профилактических учреждений до конца 2019 года</w:t>
      </w:r>
      <w:bookmarkEnd w:id="0"/>
      <w:r>
        <w:rPr>
          <w:rFonts w:ascii="Times New Roman" w:hAnsi="Times New Roman"/>
          <w:spacing w:val="4"/>
          <w:sz w:val="24"/>
          <w:szCs w:val="24"/>
        </w:rPr>
        <w:t>, в следующих объемах:</w:t>
      </w:r>
    </w:p>
    <w:tbl>
      <w:tblPr>
        <w:tblW w:w="8413" w:type="dxa"/>
        <w:tblInd w:w="96" w:type="dxa"/>
        <w:tblLook w:val="04A0"/>
      </w:tblPr>
      <w:tblGrid>
        <w:gridCol w:w="513"/>
        <w:gridCol w:w="5020"/>
        <w:gridCol w:w="960"/>
        <w:gridCol w:w="960"/>
        <w:gridCol w:w="960"/>
      </w:tblGrid>
      <w:tr w:rsidR="00412543" w:rsidRPr="00412543" w:rsidTr="00B34A5A">
        <w:trPr>
          <w:trHeight w:val="38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12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12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12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43" w:rsidRPr="00412543" w:rsidRDefault="00412543" w:rsidP="00B34A5A">
            <w:pPr>
              <w:spacing w:before="100" w:beforeAutospacing="1"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ГСМ, </w:t>
            </w:r>
            <w:proofErr w:type="gramStart"/>
            <w:r w:rsidRPr="0041254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</w:p>
        </w:tc>
      </w:tr>
      <w:tr w:rsidR="00412543" w:rsidRPr="00412543" w:rsidTr="00B34A5A">
        <w:trPr>
          <w:trHeight w:val="59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АИ-92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ДТ Евро</w:t>
            </w:r>
          </w:p>
        </w:tc>
      </w:tr>
      <w:tr w:rsidR="00412543" w:rsidRPr="00412543" w:rsidTr="00B34A5A">
        <w:trPr>
          <w:trHeight w:val="3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здравоохранения ПМР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12543" w:rsidRPr="00412543" w:rsidTr="00B34A5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sz w:val="20"/>
                <w:szCs w:val="20"/>
              </w:rPr>
              <w:t>ГУ «Республиканский госпиталь инвалидов ВОВ»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2543" w:rsidRPr="00412543" w:rsidTr="00B34A5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sz w:val="20"/>
                <w:szCs w:val="20"/>
              </w:rPr>
              <w:t>ГУ «</w:t>
            </w:r>
            <w:proofErr w:type="spellStart"/>
            <w:r w:rsidRPr="00412543">
              <w:rPr>
                <w:rFonts w:ascii="Times New Roman" w:hAnsi="Times New Roman" w:cs="Times New Roman"/>
                <w:sz w:val="20"/>
                <w:szCs w:val="20"/>
              </w:rPr>
              <w:t>Григориопольская</w:t>
            </w:r>
            <w:proofErr w:type="spellEnd"/>
            <w:r w:rsidRPr="00412543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sz w:val="20"/>
                <w:szCs w:val="20"/>
              </w:rPr>
              <w:t>22000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412543" w:rsidRPr="00412543" w:rsidTr="00B34A5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sz w:val="20"/>
                <w:szCs w:val="20"/>
              </w:rPr>
              <w:t>ГУ «</w:t>
            </w:r>
            <w:proofErr w:type="spellStart"/>
            <w:r w:rsidRPr="00412543">
              <w:rPr>
                <w:rFonts w:ascii="Times New Roman" w:hAnsi="Times New Roman" w:cs="Times New Roman"/>
                <w:sz w:val="20"/>
                <w:szCs w:val="20"/>
              </w:rPr>
              <w:t>Дубоссарская</w:t>
            </w:r>
            <w:proofErr w:type="spellEnd"/>
            <w:r w:rsidRPr="00412543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sz w:val="20"/>
                <w:szCs w:val="20"/>
              </w:rPr>
              <w:t>3920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sz w:val="20"/>
                <w:szCs w:val="20"/>
              </w:rPr>
              <w:t>4300</w:t>
            </w:r>
          </w:p>
        </w:tc>
      </w:tr>
      <w:tr w:rsidR="00412543" w:rsidRPr="00412543" w:rsidTr="00B34A5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sz w:val="20"/>
                <w:szCs w:val="20"/>
              </w:rPr>
              <w:t>ГУ «Каменская центральная районная больница»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543" w:rsidRPr="00412543" w:rsidTr="00B34A5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sz w:val="20"/>
                <w:szCs w:val="20"/>
              </w:rPr>
              <w:t xml:space="preserve">ГУ «Республиканская психиатрическая больница, с. </w:t>
            </w:r>
            <w:proofErr w:type="spellStart"/>
            <w:r w:rsidRPr="00412543">
              <w:rPr>
                <w:rFonts w:ascii="Times New Roman" w:hAnsi="Times New Roman" w:cs="Times New Roman"/>
                <w:sz w:val="20"/>
                <w:szCs w:val="20"/>
              </w:rPr>
              <w:t>Выхватинцы</w:t>
            </w:r>
            <w:proofErr w:type="spellEnd"/>
            <w:r w:rsidRPr="004125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543" w:rsidRPr="00412543" w:rsidTr="00B34A5A">
        <w:trPr>
          <w:trHeight w:val="91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sz w:val="20"/>
                <w:szCs w:val="20"/>
              </w:rPr>
              <w:t>ГУЗ «Днестровская городская больница»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sz w:val="20"/>
                <w:szCs w:val="20"/>
              </w:rPr>
              <w:t>2580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sz w:val="20"/>
                <w:szCs w:val="20"/>
              </w:rPr>
              <w:t>5880</w:t>
            </w:r>
          </w:p>
        </w:tc>
      </w:tr>
      <w:tr w:rsidR="00412543" w:rsidRPr="00412543" w:rsidTr="00B34A5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sz w:val="20"/>
                <w:szCs w:val="20"/>
              </w:rPr>
              <w:t>ГУ «Республиканский центр скорой медицинской помощи»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412543" w:rsidRPr="00412543" w:rsidTr="00B34A5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sz w:val="20"/>
                <w:szCs w:val="20"/>
              </w:rPr>
              <w:t xml:space="preserve">ГУ «Региональная станция скорой медицинской помощи, </w:t>
            </w:r>
            <w:proofErr w:type="gramStart"/>
            <w:r w:rsidRPr="004125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12543">
              <w:rPr>
                <w:rFonts w:ascii="Times New Roman" w:hAnsi="Times New Roman" w:cs="Times New Roman"/>
                <w:sz w:val="20"/>
                <w:szCs w:val="20"/>
              </w:rPr>
              <w:t>. Бендеры»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543" w:rsidRPr="00412543" w:rsidTr="00B34A5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sz w:val="20"/>
                <w:szCs w:val="20"/>
              </w:rPr>
              <w:t>ГУ «Центр по профилактике и борьбе со СПИД и инфекционными заболеваниями»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sz w:val="20"/>
                <w:szCs w:val="20"/>
              </w:rPr>
              <w:t>2650</w:t>
            </w:r>
          </w:p>
        </w:tc>
      </w:tr>
      <w:tr w:rsidR="00412543" w:rsidRPr="00412543" w:rsidTr="00B34A5A">
        <w:trPr>
          <w:trHeight w:val="330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41 500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5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20 830</w:t>
            </w:r>
          </w:p>
        </w:tc>
      </w:tr>
    </w:tbl>
    <w:p w:rsidR="00412543" w:rsidRDefault="00412543" w:rsidP="00412543">
      <w:pPr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</w:rPr>
      </w:pPr>
    </w:p>
    <w:p w:rsidR="00412543" w:rsidRPr="003E0E62" w:rsidRDefault="00412543" w:rsidP="0041254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E62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412543" w:rsidRPr="00F30EB0" w:rsidRDefault="00412543" w:rsidP="00412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1875">
        <w:rPr>
          <w:rFonts w:ascii="Times New Roman" w:hAnsi="Times New Roman" w:cs="Times New Roman"/>
          <w:sz w:val="24"/>
          <w:szCs w:val="24"/>
        </w:rPr>
        <w:t xml:space="preserve">Путем открытой публикации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газету «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Приднестровье» </w:t>
      </w:r>
      <w:r w:rsidRPr="0021771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03</w:t>
      </w:r>
      <w:r w:rsidRPr="002177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217718">
        <w:rPr>
          <w:rFonts w:ascii="Times New Roman" w:hAnsi="Times New Roman"/>
          <w:sz w:val="24"/>
          <w:szCs w:val="24"/>
        </w:rPr>
        <w:t xml:space="preserve"> 2019 года</w:t>
      </w:r>
      <w:r w:rsidRPr="00CE1C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подано объявление о проведении Министерством здравоохранения Приднестровской Молдавской Республики тендера </w:t>
      </w:r>
      <w:bookmarkStart w:id="1" w:name="_Hlk4936074"/>
      <w:r w:rsidRPr="00276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поставку </w:t>
      </w:r>
      <w:bookmarkEnd w:id="1"/>
      <w:r w:rsidRPr="001A746B">
        <w:rPr>
          <w:rFonts w:ascii="Times New Roman" w:hAnsi="Times New Roman"/>
          <w:spacing w:val="4"/>
          <w:sz w:val="24"/>
          <w:szCs w:val="24"/>
        </w:rPr>
        <w:t>горюче-смазочных материалов: Аи-92, Д/Т, Д/Т Евро для нужд подведомственных лечебно-профилактических учреждений до конца 2019 года.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>Более детальная информация была размещена на официальном сайте Министерства здравоохранения Приднестровской Молдавской Республики (</w:t>
      </w:r>
      <w:r w:rsidRPr="00F30EB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F30EB0">
        <w:rPr>
          <w:rFonts w:ascii="Times New Roman" w:eastAsia="Times New Roman" w:hAnsi="Times New Roman"/>
          <w:sz w:val="24"/>
          <w:szCs w:val="24"/>
          <w:lang w:val="en-US" w:eastAsia="ru-RU"/>
        </w:rPr>
        <w:t>minzdrav</w:t>
      </w:r>
      <w:proofErr w:type="spellEnd"/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F30EB0">
        <w:rPr>
          <w:rFonts w:ascii="Times New Roman" w:eastAsia="Times New Roman" w:hAnsi="Times New Roman"/>
          <w:sz w:val="24"/>
          <w:szCs w:val="24"/>
          <w:lang w:val="en-US" w:eastAsia="ru-RU"/>
        </w:rPr>
        <w:t>gospmr</w:t>
      </w:r>
      <w:proofErr w:type="spellEnd"/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30EB0">
        <w:rPr>
          <w:rFonts w:ascii="Times New Roman" w:eastAsia="Times New Roman" w:hAnsi="Times New Roman"/>
          <w:sz w:val="24"/>
          <w:szCs w:val="24"/>
          <w:lang w:val="en-US" w:eastAsia="ru-RU"/>
        </w:rPr>
        <w:t>org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12543" w:rsidRPr="00F30EB0" w:rsidRDefault="00412543" w:rsidP="00412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>Коммерческие предложен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ия принимались до </w:t>
      </w:r>
      <w:r w:rsidRPr="00276A5C">
        <w:rPr>
          <w:rFonts w:ascii="Times New Roman" w:hAnsi="Times New Roman"/>
          <w:sz w:val="24"/>
          <w:szCs w:val="24"/>
        </w:rPr>
        <w:t>16:</w:t>
      </w:r>
      <w:r w:rsidRPr="008C0F2D">
        <w:rPr>
          <w:rFonts w:ascii="Times New Roman" w:hAnsi="Times New Roman"/>
          <w:sz w:val="24"/>
          <w:szCs w:val="24"/>
        </w:rPr>
        <w:t xml:space="preserve">00 часов </w:t>
      </w:r>
      <w:r>
        <w:rPr>
          <w:rFonts w:ascii="Times New Roman" w:hAnsi="Times New Roman"/>
          <w:sz w:val="24"/>
          <w:szCs w:val="24"/>
        </w:rPr>
        <w:t>16</w:t>
      </w:r>
      <w:r w:rsidRPr="008C0F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8C0F2D">
        <w:rPr>
          <w:rFonts w:ascii="Times New Roman" w:hAnsi="Times New Roman"/>
          <w:sz w:val="24"/>
          <w:szCs w:val="24"/>
        </w:rPr>
        <w:t xml:space="preserve"> 2019</w:t>
      </w:r>
      <w:r w:rsidRPr="00276A5C">
        <w:rPr>
          <w:rFonts w:ascii="Times New Roman" w:hAnsi="Times New Roman"/>
          <w:sz w:val="24"/>
          <w:szCs w:val="24"/>
        </w:rPr>
        <w:t xml:space="preserve"> года</w:t>
      </w:r>
      <w:r w:rsidRPr="00370A9C">
        <w:rPr>
          <w:sz w:val="24"/>
          <w:szCs w:val="24"/>
        </w:rPr>
        <w:t xml:space="preserve"> 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>включительно.</w:t>
      </w:r>
    </w:p>
    <w:p w:rsidR="00412543" w:rsidRPr="00DA5DFD" w:rsidRDefault="00412543" w:rsidP="00412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 указанного срока в секретариат тендерной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комиссии поступило два коммерческих предложений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следующих хозяйствующих субъектов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                                   </w:t>
      </w:r>
      <w:r w:rsidRPr="000850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«Шериф»,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Тиройл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Трейд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412543" w:rsidRPr="00292026" w:rsidRDefault="00412543" w:rsidP="00412543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</w:rPr>
      </w:pPr>
    </w:p>
    <w:p w:rsidR="00412543" w:rsidRDefault="00412543" w:rsidP="00412543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</w:rPr>
      </w:pPr>
      <w:r w:rsidRPr="00292026">
        <w:rPr>
          <w:b/>
        </w:rPr>
        <w:t>РЕШИЛИ:</w:t>
      </w:r>
    </w:p>
    <w:p w:rsidR="00412543" w:rsidRPr="00CB797A" w:rsidRDefault="00412543" w:rsidP="00412543">
      <w:pPr>
        <w:tabs>
          <w:tab w:val="left" w:pos="709"/>
          <w:tab w:val="left" w:pos="1134"/>
        </w:tabs>
        <w:spacing w:after="0" w:line="240" w:lineRule="auto"/>
        <w:ind w:firstLine="709"/>
        <w:jc w:val="both"/>
      </w:pP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победителем тендера на поставку </w:t>
      </w:r>
      <w:r w:rsidRPr="001A746B">
        <w:rPr>
          <w:rFonts w:ascii="Times New Roman" w:hAnsi="Times New Roman"/>
          <w:spacing w:val="4"/>
          <w:sz w:val="24"/>
          <w:szCs w:val="24"/>
        </w:rPr>
        <w:t>горюче-смазочных материалов: Аи-92, Д/Т, Д/Т Евро для нужд подведомственных лечебно-профилактических учреждений до конца 2019 года</w:t>
      </w:r>
      <w:r>
        <w:rPr>
          <w:rFonts w:ascii="Times New Roman" w:hAnsi="Times New Roman"/>
          <w:spacing w:val="4"/>
          <w:sz w:val="24"/>
          <w:szCs w:val="24"/>
        </w:rPr>
        <w:t xml:space="preserve"> по позициям №1 «Аи-92», №2 «Д/Т», №3 «Д/Т Евро»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ООО «Шериф»</w:t>
      </w:r>
      <w:r w:rsidRPr="00CB797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12543" w:rsidRDefault="00412543" w:rsidP="0041254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0" w:type="dxa"/>
        <w:tblInd w:w="96" w:type="dxa"/>
        <w:tblLayout w:type="fixed"/>
        <w:tblLook w:val="04A0"/>
      </w:tblPr>
      <w:tblGrid>
        <w:gridCol w:w="540"/>
        <w:gridCol w:w="5993"/>
        <w:gridCol w:w="992"/>
        <w:gridCol w:w="992"/>
        <w:gridCol w:w="993"/>
      </w:tblGrid>
      <w:tr w:rsidR="00412543" w:rsidRPr="001A746B" w:rsidTr="00412543">
        <w:trPr>
          <w:trHeight w:val="24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12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12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412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учреждений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43" w:rsidRPr="00412543" w:rsidRDefault="00412543" w:rsidP="00B34A5A">
            <w:pPr>
              <w:spacing w:before="100" w:beforeAutospacing="1" w:after="2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ГСМ, </w:t>
            </w:r>
            <w:proofErr w:type="gramStart"/>
            <w:r w:rsidRPr="0041254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</w:p>
        </w:tc>
      </w:tr>
      <w:tr w:rsidR="00412543" w:rsidRPr="001A746B" w:rsidTr="00412543">
        <w:trPr>
          <w:trHeight w:val="21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АИ-92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ДТ Евро</w:t>
            </w:r>
          </w:p>
        </w:tc>
      </w:tr>
      <w:tr w:rsidR="00412543" w:rsidRPr="001A746B" w:rsidTr="00B34A5A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здравоохранения ПМР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12543" w:rsidRPr="001A746B" w:rsidTr="00B34A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sz w:val="18"/>
                <w:szCs w:val="18"/>
              </w:rPr>
              <w:t>ГУ «Республиканский госпиталь инвалидов ВОВ»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12543" w:rsidRPr="001A746B" w:rsidTr="00B34A5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sz w:val="18"/>
                <w:szCs w:val="18"/>
              </w:rPr>
              <w:t>ГУ «</w:t>
            </w:r>
            <w:proofErr w:type="spellStart"/>
            <w:r w:rsidRPr="00412543">
              <w:rPr>
                <w:rFonts w:ascii="Times New Roman" w:hAnsi="Times New Roman" w:cs="Times New Roman"/>
                <w:sz w:val="18"/>
                <w:szCs w:val="18"/>
              </w:rPr>
              <w:t>Григориопольская</w:t>
            </w:r>
            <w:proofErr w:type="spellEnd"/>
            <w:r w:rsidRPr="00412543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sz w:val="18"/>
                <w:szCs w:val="18"/>
              </w:rPr>
              <w:t>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412543" w:rsidRPr="001A746B" w:rsidTr="00B34A5A">
        <w:trPr>
          <w:trHeight w:val="3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sz w:val="18"/>
                <w:szCs w:val="18"/>
              </w:rPr>
              <w:t>ГУ «</w:t>
            </w:r>
            <w:proofErr w:type="spellStart"/>
            <w:r w:rsidRPr="00412543">
              <w:rPr>
                <w:rFonts w:ascii="Times New Roman" w:hAnsi="Times New Roman" w:cs="Times New Roman"/>
                <w:sz w:val="18"/>
                <w:szCs w:val="18"/>
              </w:rPr>
              <w:t>Дубоссарская</w:t>
            </w:r>
            <w:proofErr w:type="spellEnd"/>
            <w:r w:rsidRPr="00412543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sz w:val="18"/>
                <w:szCs w:val="18"/>
              </w:rPr>
              <w:t>3920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sz w:val="18"/>
                <w:szCs w:val="18"/>
              </w:rPr>
              <w:t>4300</w:t>
            </w:r>
          </w:p>
        </w:tc>
      </w:tr>
      <w:tr w:rsidR="00412543" w:rsidRPr="001A746B" w:rsidTr="00B34A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sz w:val="18"/>
                <w:szCs w:val="18"/>
              </w:rPr>
              <w:t>ГУ «Каменская центральная районная больница»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543" w:rsidRPr="001A746B" w:rsidTr="00B34A5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sz w:val="18"/>
                <w:szCs w:val="18"/>
              </w:rPr>
              <w:t xml:space="preserve">ГУ «Республиканская психиатрическая больница, с. </w:t>
            </w:r>
            <w:proofErr w:type="spellStart"/>
            <w:r w:rsidRPr="00412543">
              <w:rPr>
                <w:rFonts w:ascii="Times New Roman" w:hAnsi="Times New Roman" w:cs="Times New Roman"/>
                <w:sz w:val="18"/>
                <w:szCs w:val="18"/>
              </w:rPr>
              <w:t>Выхватинцы</w:t>
            </w:r>
            <w:proofErr w:type="spellEnd"/>
            <w:r w:rsidRPr="0041254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543" w:rsidRPr="001A746B" w:rsidTr="00B34A5A">
        <w:trPr>
          <w:trHeight w:val="5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sz w:val="18"/>
                <w:szCs w:val="18"/>
              </w:rPr>
              <w:t>ГУЗ «Днестровская городская больница»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sz w:val="18"/>
                <w:szCs w:val="18"/>
              </w:rPr>
              <w:t>2580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sz w:val="18"/>
                <w:szCs w:val="18"/>
              </w:rPr>
              <w:t>5880</w:t>
            </w:r>
          </w:p>
        </w:tc>
      </w:tr>
      <w:tr w:rsidR="00412543" w:rsidRPr="001A746B" w:rsidTr="00B34A5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sz w:val="18"/>
                <w:szCs w:val="18"/>
              </w:rPr>
              <w:t>ГУ «Республиканский центр скорой медицинской помощи»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412543" w:rsidRPr="001A746B" w:rsidTr="00B34A5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sz w:val="18"/>
                <w:szCs w:val="18"/>
              </w:rPr>
              <w:t xml:space="preserve">ГУ «Региональная станция скорой медицинской помощи, </w:t>
            </w:r>
            <w:proofErr w:type="gramStart"/>
            <w:r w:rsidRPr="0041254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412543">
              <w:rPr>
                <w:rFonts w:ascii="Times New Roman" w:hAnsi="Times New Roman" w:cs="Times New Roman"/>
                <w:sz w:val="18"/>
                <w:szCs w:val="18"/>
              </w:rPr>
              <w:t>. Бендеры»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543" w:rsidRPr="001A746B" w:rsidTr="00B34A5A">
        <w:trPr>
          <w:trHeight w:val="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sz w:val="18"/>
                <w:szCs w:val="18"/>
              </w:rPr>
              <w:t>ГУ «Центр по профилактике и борьбе со СПИД и инфекционными заболеваниями»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sz w:val="18"/>
                <w:szCs w:val="18"/>
              </w:rPr>
              <w:t>2650</w:t>
            </w:r>
          </w:p>
        </w:tc>
      </w:tr>
      <w:tr w:rsidR="00412543" w:rsidRPr="001A746B" w:rsidTr="00B34A5A">
        <w:trPr>
          <w:trHeight w:val="3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41 500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2 350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543" w:rsidRPr="00412543" w:rsidRDefault="00412543" w:rsidP="00B34A5A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5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20 830</w:t>
            </w:r>
          </w:p>
        </w:tc>
      </w:tr>
    </w:tbl>
    <w:p w:rsidR="00412543" w:rsidRDefault="00412543" w:rsidP="0041254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учреждений: </w:t>
      </w:r>
    </w:p>
    <w:p w:rsidR="00412543" w:rsidRPr="00057324" w:rsidRDefault="00412543" w:rsidP="0041254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FD3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«Республиканский госпиталь инвалидов ВОВ»</w:t>
      </w:r>
      <w:r w:rsidRPr="000573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2543" w:rsidRPr="00057324" w:rsidRDefault="00412543" w:rsidP="0041254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FD3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7C3FD3">
        <w:rPr>
          <w:rFonts w:ascii="Times New Roman" w:hAnsi="Times New Roman" w:cs="Times New Roman"/>
          <w:sz w:val="24"/>
          <w:szCs w:val="24"/>
        </w:rPr>
        <w:t>Григориопольская</w:t>
      </w:r>
      <w:proofErr w:type="spellEnd"/>
      <w:r w:rsidRPr="007C3FD3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больница»,</w:t>
      </w:r>
    </w:p>
    <w:p w:rsidR="00412543" w:rsidRDefault="00412543" w:rsidP="0041254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FD3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7C3FD3">
        <w:rPr>
          <w:rFonts w:ascii="Times New Roman" w:hAnsi="Times New Roman" w:cs="Times New Roman"/>
          <w:sz w:val="24"/>
          <w:szCs w:val="24"/>
        </w:rPr>
        <w:t>Дубоссарская</w:t>
      </w:r>
      <w:proofErr w:type="spellEnd"/>
      <w:r w:rsidRPr="007C3FD3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больница»,</w:t>
      </w:r>
      <w:r w:rsidRPr="007C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2543" w:rsidRPr="00CB797A" w:rsidRDefault="00412543" w:rsidP="004125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FD3">
        <w:rPr>
          <w:rFonts w:ascii="Times New Roman" w:hAnsi="Times New Roman" w:cs="Times New Roman"/>
          <w:sz w:val="24"/>
          <w:szCs w:val="24"/>
        </w:rPr>
        <w:t>ГУ «Каменская центральная районная больница»,</w:t>
      </w:r>
    </w:p>
    <w:p w:rsidR="00412543" w:rsidRPr="00CB797A" w:rsidRDefault="00412543" w:rsidP="004125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FD3">
        <w:rPr>
          <w:rFonts w:ascii="Times New Roman" w:hAnsi="Times New Roman" w:cs="Times New Roman"/>
          <w:sz w:val="24"/>
          <w:szCs w:val="24"/>
        </w:rPr>
        <w:t>ГУ «Республиканская психиатрическая больница</w:t>
      </w:r>
      <w:r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Выхватенцы</w:t>
      </w:r>
      <w:proofErr w:type="spellEnd"/>
      <w:r w:rsidRPr="007C3FD3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412543" w:rsidRPr="00CB797A" w:rsidRDefault="00412543" w:rsidP="004125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FD3">
        <w:rPr>
          <w:rFonts w:ascii="Times New Roman" w:hAnsi="Times New Roman" w:cs="Times New Roman"/>
          <w:sz w:val="24"/>
          <w:szCs w:val="24"/>
        </w:rPr>
        <w:t xml:space="preserve">ГУЗ «Днестровская городская больница», </w:t>
      </w:r>
    </w:p>
    <w:p w:rsidR="00412543" w:rsidRPr="00CB797A" w:rsidRDefault="00412543" w:rsidP="004125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FD3">
        <w:rPr>
          <w:rFonts w:ascii="Times New Roman" w:hAnsi="Times New Roman" w:cs="Times New Roman"/>
          <w:sz w:val="24"/>
          <w:szCs w:val="24"/>
        </w:rPr>
        <w:t>ГУ «Республиканский центр скорой медицинской помощи</w:t>
      </w:r>
      <w:r>
        <w:rPr>
          <w:rFonts w:ascii="Times New Roman" w:hAnsi="Times New Roman" w:cs="Times New Roman"/>
          <w:sz w:val="24"/>
          <w:szCs w:val="24"/>
        </w:rPr>
        <w:t>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ендеры</w:t>
      </w:r>
      <w:r w:rsidRPr="007C3FD3">
        <w:rPr>
          <w:rFonts w:ascii="Times New Roman" w:hAnsi="Times New Roman" w:cs="Times New Roman"/>
          <w:sz w:val="24"/>
          <w:szCs w:val="24"/>
        </w:rPr>
        <w:t>»,</w:t>
      </w:r>
    </w:p>
    <w:p w:rsidR="00412543" w:rsidRDefault="00412543" w:rsidP="004125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FD3">
        <w:rPr>
          <w:rFonts w:ascii="Times New Roman" w:hAnsi="Times New Roman" w:cs="Times New Roman"/>
          <w:sz w:val="24"/>
          <w:szCs w:val="24"/>
        </w:rPr>
        <w:t>ГУ «Региональная станция скорой медицинской помощи»,</w:t>
      </w:r>
    </w:p>
    <w:p w:rsidR="00412543" w:rsidRPr="007C3FD3" w:rsidRDefault="00412543" w:rsidP="004125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FD3">
        <w:rPr>
          <w:rFonts w:ascii="Times New Roman" w:hAnsi="Times New Roman" w:cs="Times New Roman"/>
          <w:sz w:val="24"/>
          <w:szCs w:val="24"/>
        </w:rPr>
        <w:t>ГУ «Центр по профилактике и борьбе со СПИД и инфекционными заболеваниями»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с ООО «Шериф» на поставку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746B">
        <w:rPr>
          <w:rFonts w:ascii="Times New Roman" w:hAnsi="Times New Roman"/>
          <w:spacing w:val="4"/>
          <w:sz w:val="24"/>
          <w:szCs w:val="24"/>
        </w:rPr>
        <w:t>горюче-смазочных материалов: Аи-92, Д/Т, Д/Т Евро для нужд подведомственных лечебно-профилактических учреждений до конца 2019 года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в Министерство здравоохранения ПМР для утверж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дения и регистрации в течение </w:t>
      </w:r>
      <w:r w:rsidRPr="0085068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проведения тендера:</w:t>
      </w:r>
    </w:p>
    <w:p w:rsidR="00412543" w:rsidRDefault="00412543" w:rsidP="00412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>а)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стороны договора:</w:t>
      </w:r>
    </w:p>
    <w:p w:rsidR="00412543" w:rsidRPr="00CB797A" w:rsidRDefault="00412543" w:rsidP="00412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B797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«Заказчик»</w:t>
      </w:r>
      <w:proofErr w:type="gramStart"/>
      <w:r w:rsidRPr="00CB797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:</w:t>
      </w:r>
      <w:proofErr w:type="gramEnd"/>
    </w:p>
    <w:p w:rsidR="00412543" w:rsidRPr="00CB797A" w:rsidRDefault="00412543" w:rsidP="0041254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«Республиканский госпиталь инвалидов ВОВ» в лице главного врача </w:t>
      </w:r>
      <w:proofErr w:type="spellStart"/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Чолак</w:t>
      </w:r>
      <w:proofErr w:type="spellEnd"/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 xml:space="preserve"> Д.Ф.</w:t>
      </w:r>
      <w:r w:rsidRPr="00CB797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12543" w:rsidRPr="00CB797A" w:rsidRDefault="00412543" w:rsidP="004125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FD3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7C3FD3">
        <w:rPr>
          <w:rFonts w:ascii="Times New Roman" w:hAnsi="Times New Roman" w:cs="Times New Roman"/>
          <w:sz w:val="24"/>
          <w:szCs w:val="24"/>
        </w:rPr>
        <w:t>Григориопольская</w:t>
      </w:r>
      <w:proofErr w:type="spellEnd"/>
      <w:r w:rsidRPr="007C3FD3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</w:t>
      </w:r>
      <w:proofErr w:type="gramStart"/>
      <w:r w:rsidRPr="007C3FD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главный врач Кузнецов А.Г.</w:t>
      </w:r>
      <w:r w:rsidRPr="00CB797A">
        <w:rPr>
          <w:rFonts w:ascii="Times New Roman" w:hAnsi="Times New Roman" w:cs="Times New Roman"/>
          <w:sz w:val="24"/>
          <w:szCs w:val="24"/>
        </w:rPr>
        <w:t>;</w:t>
      </w:r>
    </w:p>
    <w:p w:rsidR="00412543" w:rsidRPr="00CB797A" w:rsidRDefault="00412543" w:rsidP="0041254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FD3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7C3FD3">
        <w:rPr>
          <w:rFonts w:ascii="Times New Roman" w:hAnsi="Times New Roman" w:cs="Times New Roman"/>
          <w:sz w:val="24"/>
          <w:szCs w:val="24"/>
        </w:rPr>
        <w:t>Дубоссарская</w:t>
      </w:r>
      <w:proofErr w:type="spellEnd"/>
      <w:r w:rsidRPr="007C3FD3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  <w:r>
        <w:rPr>
          <w:rFonts w:ascii="Times New Roman" w:hAnsi="Times New Roman" w:cs="Times New Roman"/>
          <w:sz w:val="24"/>
          <w:szCs w:val="24"/>
        </w:rPr>
        <w:t xml:space="preserve">- главный врач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Pr="00CB797A">
        <w:rPr>
          <w:rFonts w:ascii="Times New Roman" w:hAnsi="Times New Roman" w:cs="Times New Roman"/>
          <w:sz w:val="24"/>
          <w:szCs w:val="24"/>
        </w:rPr>
        <w:t>;</w:t>
      </w:r>
    </w:p>
    <w:p w:rsidR="00412543" w:rsidRPr="00CB797A" w:rsidRDefault="00412543" w:rsidP="004125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FD3">
        <w:rPr>
          <w:rFonts w:ascii="Times New Roman" w:hAnsi="Times New Roman" w:cs="Times New Roman"/>
          <w:sz w:val="24"/>
          <w:szCs w:val="24"/>
        </w:rPr>
        <w:t>ГУ «Каменская центральная районная больница»</w:t>
      </w:r>
      <w:r>
        <w:rPr>
          <w:rFonts w:ascii="Times New Roman" w:hAnsi="Times New Roman" w:cs="Times New Roman"/>
          <w:sz w:val="24"/>
          <w:szCs w:val="24"/>
        </w:rPr>
        <w:t xml:space="preserve">- главный врач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Pr="00CB797A">
        <w:rPr>
          <w:rFonts w:ascii="Times New Roman" w:hAnsi="Times New Roman" w:cs="Times New Roman"/>
          <w:sz w:val="24"/>
          <w:szCs w:val="24"/>
        </w:rPr>
        <w:t>;</w:t>
      </w:r>
    </w:p>
    <w:p w:rsidR="00412543" w:rsidRPr="00CB797A" w:rsidRDefault="00412543" w:rsidP="004125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C3FD3">
        <w:rPr>
          <w:rFonts w:ascii="Times New Roman" w:hAnsi="Times New Roman" w:cs="Times New Roman"/>
          <w:sz w:val="24"/>
          <w:szCs w:val="24"/>
        </w:rPr>
        <w:t>ГУ «Республиканская психиатрическая больница</w:t>
      </w:r>
      <w:r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Выхватинцы</w:t>
      </w:r>
      <w:proofErr w:type="spellEnd"/>
      <w:r w:rsidRPr="007C3FD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- главный врач Бессмертный М.Г.</w:t>
      </w:r>
      <w:r w:rsidRPr="00CB797A">
        <w:rPr>
          <w:rFonts w:ascii="Times New Roman" w:hAnsi="Times New Roman" w:cs="Times New Roman"/>
          <w:sz w:val="24"/>
          <w:szCs w:val="24"/>
        </w:rPr>
        <w:t>;</w:t>
      </w:r>
    </w:p>
    <w:p w:rsidR="00412543" w:rsidRDefault="00412543" w:rsidP="004125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3FD3">
        <w:rPr>
          <w:rFonts w:ascii="Times New Roman" w:hAnsi="Times New Roman" w:cs="Times New Roman"/>
          <w:sz w:val="24"/>
          <w:szCs w:val="24"/>
        </w:rPr>
        <w:t xml:space="preserve"> ГУЗ «Днестровская городская больница»</w:t>
      </w:r>
      <w:r>
        <w:rPr>
          <w:rFonts w:ascii="Times New Roman" w:hAnsi="Times New Roman" w:cs="Times New Roman"/>
          <w:sz w:val="24"/>
          <w:szCs w:val="24"/>
        </w:rPr>
        <w:t>- главный врач Белоус А.И.</w:t>
      </w:r>
      <w:r w:rsidRPr="00CB797A">
        <w:rPr>
          <w:rFonts w:ascii="Times New Roman" w:hAnsi="Times New Roman" w:cs="Times New Roman"/>
          <w:sz w:val="24"/>
          <w:szCs w:val="24"/>
        </w:rPr>
        <w:t>;</w:t>
      </w:r>
      <w:r w:rsidRPr="007C3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543" w:rsidRPr="00CB797A" w:rsidRDefault="00412543" w:rsidP="0041254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FD3">
        <w:rPr>
          <w:rFonts w:ascii="Times New Roman" w:hAnsi="Times New Roman" w:cs="Times New Roman"/>
          <w:sz w:val="24"/>
          <w:szCs w:val="24"/>
        </w:rPr>
        <w:t>ГУ «Республиканский центр скорой медицинской помощи»</w:t>
      </w:r>
      <w:r>
        <w:rPr>
          <w:rFonts w:ascii="Times New Roman" w:hAnsi="Times New Roman" w:cs="Times New Roman"/>
          <w:sz w:val="24"/>
          <w:szCs w:val="24"/>
        </w:rPr>
        <w:t xml:space="preserve">- главный врач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Малиёв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</w:t>
      </w:r>
      <w:r w:rsidRPr="00CB797A">
        <w:rPr>
          <w:rFonts w:ascii="Times New Roman" w:hAnsi="Times New Roman" w:cs="Times New Roman"/>
          <w:sz w:val="24"/>
          <w:szCs w:val="24"/>
        </w:rPr>
        <w:t>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7A">
        <w:rPr>
          <w:rFonts w:ascii="Times New Roman" w:hAnsi="Times New Roman" w:cs="Times New Roman"/>
          <w:sz w:val="24"/>
          <w:szCs w:val="24"/>
        </w:rPr>
        <w:t xml:space="preserve">- </w:t>
      </w:r>
      <w:r w:rsidRPr="007C3FD3">
        <w:rPr>
          <w:rFonts w:ascii="Times New Roman" w:hAnsi="Times New Roman" w:cs="Times New Roman"/>
          <w:sz w:val="24"/>
          <w:szCs w:val="24"/>
        </w:rPr>
        <w:t>ГУ «Региональная станция скорой медицинской помощи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Бендеры</w:t>
      </w:r>
      <w:r w:rsidRPr="007C3FD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- главный врач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Чумейка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  <w:r w:rsidRPr="00CB797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2543" w:rsidRPr="00CB797A" w:rsidRDefault="00412543" w:rsidP="0041254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97A">
        <w:rPr>
          <w:rFonts w:ascii="Times New Roman" w:hAnsi="Times New Roman" w:cs="Times New Roman"/>
          <w:sz w:val="24"/>
          <w:szCs w:val="24"/>
        </w:rPr>
        <w:t xml:space="preserve">- </w:t>
      </w:r>
      <w:r w:rsidRPr="007C3FD3">
        <w:rPr>
          <w:rFonts w:ascii="Times New Roman" w:hAnsi="Times New Roman" w:cs="Times New Roman"/>
          <w:sz w:val="24"/>
          <w:szCs w:val="24"/>
        </w:rPr>
        <w:t>ГУ «Центр по профилактике и борьбе со СПИД и инфекционными заболеваниями»</w:t>
      </w:r>
      <w:r>
        <w:rPr>
          <w:rFonts w:ascii="Times New Roman" w:hAnsi="Times New Roman" w:cs="Times New Roman"/>
          <w:sz w:val="24"/>
          <w:szCs w:val="24"/>
        </w:rPr>
        <w:t>- главный врач Гончар А.Г.</w:t>
      </w:r>
      <w:r w:rsidRPr="00CB797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12543" w:rsidRDefault="00412543" w:rsidP="00412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E11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Поставщик»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12543" w:rsidRPr="00CB797A" w:rsidRDefault="00412543" w:rsidP="004125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ООО «Шериф»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директора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Огирчук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2543" w:rsidRDefault="00412543" w:rsidP="00412543">
      <w:pPr>
        <w:tabs>
          <w:tab w:val="left" w:pos="709"/>
          <w:tab w:val="left" w:pos="1134"/>
          <w:tab w:val="right" w:pos="9354"/>
        </w:tabs>
        <w:spacing w:before="60"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>б)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предмет договора: </w:t>
      </w:r>
      <w:r w:rsidRPr="007C3FD3">
        <w:rPr>
          <w:rFonts w:ascii="Times New Roman" w:eastAsia="Times New Roman" w:hAnsi="Times New Roman"/>
          <w:sz w:val="24"/>
          <w:szCs w:val="24"/>
          <w:lang w:eastAsia="ru-RU"/>
        </w:rPr>
        <w:t>поставка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A746B">
        <w:rPr>
          <w:rFonts w:ascii="Times New Roman" w:hAnsi="Times New Roman"/>
          <w:spacing w:val="4"/>
          <w:sz w:val="24"/>
          <w:szCs w:val="24"/>
        </w:rPr>
        <w:t>горюче-смазочных материалов: Аи-92, Д/Т, Д/Т Евро для нужд подведомственных лечебно-профилактических учреждений до конца 2019 года</w:t>
      </w:r>
      <w:r>
        <w:rPr>
          <w:rFonts w:ascii="Times New Roman" w:hAnsi="Times New Roman"/>
          <w:spacing w:val="4"/>
          <w:sz w:val="24"/>
          <w:szCs w:val="24"/>
        </w:rPr>
        <w:t>.</w:t>
      </w:r>
    </w:p>
    <w:p w:rsidR="00412543" w:rsidRPr="00412543" w:rsidRDefault="00412543" w:rsidP="00412543">
      <w:pPr>
        <w:tabs>
          <w:tab w:val="left" w:pos="709"/>
          <w:tab w:val="left" w:pos="1134"/>
          <w:tab w:val="right" w:pos="9354"/>
        </w:tabs>
        <w:spacing w:before="60"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"/>
        <w:gridCol w:w="1746"/>
        <w:gridCol w:w="1065"/>
        <w:gridCol w:w="4111"/>
        <w:gridCol w:w="1559"/>
      </w:tblGrid>
      <w:tr w:rsidR="00412543" w:rsidRPr="00CD5E6C" w:rsidTr="00412543">
        <w:trPr>
          <w:trHeight w:val="227"/>
        </w:trPr>
        <w:tc>
          <w:tcPr>
            <w:tcW w:w="416" w:type="dxa"/>
            <w:shd w:val="clear" w:color="auto" w:fill="auto"/>
            <w:vAlign w:val="center"/>
            <w:hideMark/>
          </w:tcPr>
          <w:p w:rsidR="00412543" w:rsidRPr="00716B3E" w:rsidRDefault="00412543" w:rsidP="00B34A5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1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1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1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46" w:type="dxa"/>
            <w:shd w:val="clear" w:color="auto" w:fill="auto"/>
            <w:vAlign w:val="center"/>
            <w:hideMark/>
          </w:tcPr>
          <w:p w:rsidR="00412543" w:rsidRPr="00716B3E" w:rsidRDefault="00412543" w:rsidP="00B34A5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12543" w:rsidRPr="00716B3E" w:rsidRDefault="00412543" w:rsidP="00B34A5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выпуска</w:t>
            </w:r>
          </w:p>
        </w:tc>
        <w:tc>
          <w:tcPr>
            <w:tcW w:w="4111" w:type="dxa"/>
            <w:vAlign w:val="center"/>
          </w:tcPr>
          <w:p w:rsidR="00412543" w:rsidRPr="00716B3E" w:rsidRDefault="00412543" w:rsidP="00B34A5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Фирма производитель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2543" w:rsidRPr="00716B3E" w:rsidRDefault="00412543" w:rsidP="00B34A5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412543" w:rsidRPr="00CD5E6C" w:rsidTr="00412543">
        <w:trPr>
          <w:trHeight w:val="227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412543" w:rsidRPr="009F7D8E" w:rsidRDefault="00412543" w:rsidP="00B34A5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:rsidR="00412543" w:rsidRPr="009F7D8E" w:rsidRDefault="00412543" w:rsidP="00B34A5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12543" w:rsidRPr="009F7D8E" w:rsidRDefault="00412543" w:rsidP="00B34A5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4111" w:type="dxa"/>
            <w:vAlign w:val="center"/>
          </w:tcPr>
          <w:p w:rsidR="00412543" w:rsidRPr="009F7D8E" w:rsidRDefault="00412543" w:rsidP="00B34A5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Мозырский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НПЗ», Республика Беларусь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2543" w:rsidRPr="009F7D8E" w:rsidRDefault="00412543" w:rsidP="00B34A5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41 500</w:t>
            </w:r>
          </w:p>
        </w:tc>
      </w:tr>
      <w:tr w:rsidR="00412543" w:rsidRPr="00CD5E6C" w:rsidTr="00412543">
        <w:trPr>
          <w:trHeight w:val="227"/>
        </w:trPr>
        <w:tc>
          <w:tcPr>
            <w:tcW w:w="416" w:type="dxa"/>
            <w:shd w:val="clear" w:color="auto" w:fill="auto"/>
            <w:noWrap/>
            <w:vAlign w:val="center"/>
          </w:tcPr>
          <w:p w:rsidR="00412543" w:rsidRPr="009F7D8E" w:rsidRDefault="00412543" w:rsidP="00B34A5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412543" w:rsidRDefault="00412543" w:rsidP="00B34A5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Д/Т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12543" w:rsidRDefault="00412543" w:rsidP="00B34A5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4111" w:type="dxa"/>
            <w:vAlign w:val="center"/>
          </w:tcPr>
          <w:p w:rsidR="00412543" w:rsidRDefault="00412543" w:rsidP="00B34A5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Нафтан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Республика Беларусь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543" w:rsidRDefault="00412543" w:rsidP="00B34A5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2 350</w:t>
            </w:r>
          </w:p>
        </w:tc>
      </w:tr>
      <w:tr w:rsidR="00412543" w:rsidRPr="00CD5E6C" w:rsidTr="00412543">
        <w:trPr>
          <w:trHeight w:val="227"/>
        </w:trPr>
        <w:tc>
          <w:tcPr>
            <w:tcW w:w="416" w:type="dxa"/>
            <w:shd w:val="clear" w:color="auto" w:fill="auto"/>
            <w:noWrap/>
            <w:vAlign w:val="center"/>
          </w:tcPr>
          <w:p w:rsidR="00412543" w:rsidRPr="009F7D8E" w:rsidRDefault="00412543" w:rsidP="00B34A5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412543" w:rsidRDefault="00412543" w:rsidP="00B34A5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Д/Т Евро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12543" w:rsidRDefault="00412543" w:rsidP="00B34A5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4111" w:type="dxa"/>
            <w:vAlign w:val="center"/>
          </w:tcPr>
          <w:p w:rsidR="00412543" w:rsidRDefault="00412543" w:rsidP="00B34A5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Нафтан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Республика Беларусь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543" w:rsidRDefault="00412543" w:rsidP="00B34A5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20 830</w:t>
            </w:r>
          </w:p>
        </w:tc>
      </w:tr>
    </w:tbl>
    <w:p w:rsidR="00412543" w:rsidRPr="0062473B" w:rsidRDefault="00412543" w:rsidP="00412543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7C3FD3">
        <w:rPr>
          <w:rFonts w:ascii="Times New Roman" w:eastAsia="Times New Roman" w:hAnsi="Times New Roman"/>
          <w:sz w:val="24"/>
          <w:szCs w:val="24"/>
          <w:lang w:eastAsia="ru-RU" w:bidi="ru-RU"/>
        </w:rPr>
        <w:t>Бензовозам</w:t>
      </w:r>
      <w:proofErr w:type="gramStart"/>
      <w:r w:rsidRPr="007C3FD3">
        <w:rPr>
          <w:rFonts w:ascii="Times New Roman" w:eastAsia="Times New Roman" w:hAnsi="Times New Roman"/>
          <w:sz w:val="24"/>
          <w:szCs w:val="24"/>
          <w:lang w:eastAsia="ru-RU" w:bidi="ru-RU"/>
        </w:rPr>
        <w:t>и ООО</w:t>
      </w:r>
      <w:proofErr w:type="gramEnd"/>
      <w:r w:rsidRPr="007C3FD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"Шериф" в место,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7C3FD3">
        <w:rPr>
          <w:rFonts w:ascii="Times New Roman" w:eastAsia="Times New Roman" w:hAnsi="Times New Roman"/>
          <w:sz w:val="24"/>
          <w:szCs w:val="24"/>
          <w:lang w:eastAsia="ru-RU" w:bidi="ru-RU"/>
        </w:rPr>
        <w:t>определяемое Покупателем,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7C3FD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или по талонам с АЗС ООО "Шериф", </w:t>
      </w:r>
      <w:proofErr w:type="spellStart"/>
      <w:r w:rsidRPr="007C3FD3">
        <w:rPr>
          <w:rFonts w:ascii="Times New Roman" w:eastAsia="Times New Roman" w:hAnsi="Times New Roman"/>
          <w:sz w:val="24"/>
          <w:szCs w:val="24"/>
          <w:lang w:eastAsia="ru-RU" w:bidi="ru-RU"/>
        </w:rPr>
        <w:t>отоваривание</w:t>
      </w:r>
      <w:proofErr w:type="spellEnd"/>
      <w:r w:rsidRPr="007C3FD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которых возможно во всей сети АЗС ООО "Шериф" круглосуточно, или по "Топливному проекту". В цену на топливо,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7C3FD3">
        <w:rPr>
          <w:rFonts w:ascii="Times New Roman" w:eastAsia="Times New Roman" w:hAnsi="Times New Roman"/>
          <w:sz w:val="24"/>
          <w:szCs w:val="24"/>
          <w:lang w:eastAsia="ru-RU" w:bidi="ru-RU"/>
        </w:rPr>
        <w:t>указанную в настоящем коммерческом предложении, входит и доставка топлива на склад Покупателя.</w:t>
      </w:r>
    </w:p>
    <w:p w:rsidR="00412543" w:rsidRDefault="00412543" w:rsidP="00412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43792">
        <w:t xml:space="preserve"> </w:t>
      </w:r>
      <w:r w:rsidRPr="00543792">
        <w:rPr>
          <w:rFonts w:ascii="Times New Roman" w:eastAsia="Times New Roman" w:hAnsi="Times New Roman"/>
          <w:sz w:val="24"/>
          <w:szCs w:val="24"/>
          <w:lang w:eastAsia="ru-RU"/>
        </w:rPr>
        <w:t xml:space="preserve">Безналичный расчет. Оплата за поставленную партию </w:t>
      </w:r>
      <w:proofErr w:type="gramStart"/>
      <w:r w:rsidRPr="00543792">
        <w:rPr>
          <w:rFonts w:ascii="Times New Roman" w:eastAsia="Times New Roman" w:hAnsi="Times New Roman"/>
          <w:sz w:val="24"/>
          <w:szCs w:val="24"/>
          <w:lang w:eastAsia="ru-RU"/>
        </w:rPr>
        <w:t>производится Покупателем путем переч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исления денежных средств на рас</w:t>
      </w:r>
      <w:r w:rsidRPr="00543792">
        <w:rPr>
          <w:rFonts w:ascii="Times New Roman" w:eastAsia="Times New Roman" w:hAnsi="Times New Roman"/>
          <w:sz w:val="24"/>
          <w:szCs w:val="24"/>
          <w:lang w:eastAsia="ru-RU"/>
        </w:rPr>
        <w:t>четный счет Общества в течение 30 календарных дней с даны</w:t>
      </w:r>
      <w:proofErr w:type="gramEnd"/>
      <w:r w:rsidRPr="00543792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чения товара. При этом в случае</w:t>
      </w:r>
      <w:r w:rsidRPr="0054379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3792">
        <w:rPr>
          <w:rFonts w:ascii="Times New Roman" w:eastAsia="Times New Roman" w:hAnsi="Times New Roman"/>
          <w:sz w:val="24"/>
          <w:szCs w:val="24"/>
          <w:lang w:eastAsia="ru-RU"/>
        </w:rPr>
        <w:t>если в течение пяти дней со дня истечения срока,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3792">
        <w:rPr>
          <w:rFonts w:ascii="Times New Roman" w:eastAsia="Times New Roman" w:hAnsi="Times New Roman"/>
          <w:sz w:val="24"/>
          <w:szCs w:val="24"/>
          <w:lang w:eastAsia="ru-RU"/>
        </w:rPr>
        <w:t>установленного для оплаты,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3792">
        <w:rPr>
          <w:rFonts w:ascii="Times New Roman" w:eastAsia="Times New Roman" w:hAnsi="Times New Roman"/>
          <w:sz w:val="24"/>
          <w:szCs w:val="24"/>
          <w:lang w:eastAsia="ru-RU"/>
        </w:rPr>
        <w:t>Покупатель не оплатит уже поставленную партию товара, Общество вправе приостановить поставку следующей партии товара. Оплата поставленного топлива по настоящему договору возможна путем проведения взаимного денежного зачета по платежам в Республиканский бюджет. Обязанность по документальному оформлению денежного зачета возлагается на Покупателя.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12543" w:rsidRDefault="00412543" w:rsidP="00412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цены</w:t>
      </w:r>
      <w:r w:rsidRPr="0054379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топливо возможно:</w:t>
      </w:r>
    </w:p>
    <w:p w:rsidR="00412543" w:rsidRPr="00543792" w:rsidRDefault="00412543" w:rsidP="00412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43792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сторону увеличения в исключительных случаях, связанных с объективными причинами изменения конъектуры цены на рынке,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3792">
        <w:rPr>
          <w:rFonts w:ascii="Times New Roman" w:eastAsia="Times New Roman" w:hAnsi="Times New Roman"/>
          <w:sz w:val="24"/>
          <w:szCs w:val="24"/>
          <w:lang w:eastAsia="ru-RU"/>
        </w:rPr>
        <w:t>в пределах суммы зарегистрированного договора и ассортимента топлива,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3792">
        <w:rPr>
          <w:rFonts w:ascii="Times New Roman" w:eastAsia="Times New Roman" w:hAnsi="Times New Roman"/>
          <w:sz w:val="24"/>
          <w:szCs w:val="24"/>
          <w:lang w:eastAsia="ru-RU"/>
        </w:rPr>
        <w:t>при сохранении условий поставки;</w:t>
      </w:r>
    </w:p>
    <w:p w:rsidR="00412543" w:rsidRDefault="00412543" w:rsidP="00412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43792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сторону уменьшения в пределах суммы зарегистрированного договора и ассортимента топлива, при сохранении условий поставки.</w:t>
      </w:r>
    </w:p>
    <w:p w:rsidR="00412543" w:rsidRPr="007E119E" w:rsidRDefault="00412543" w:rsidP="00412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412543" w:rsidRPr="007E119E" w:rsidRDefault="00412543" w:rsidP="00412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12543" w:rsidRPr="008866E5" w:rsidRDefault="00412543" w:rsidP="00412543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6E5">
        <w:rPr>
          <w:rFonts w:ascii="Times New Roman" w:hAnsi="Times New Roman" w:cs="Times New Roman"/>
          <w:b/>
          <w:sz w:val="24"/>
          <w:szCs w:val="24"/>
        </w:rPr>
        <w:t xml:space="preserve">Источник финансирования </w:t>
      </w:r>
      <w:r w:rsidRPr="008866E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8866E5">
        <w:rPr>
          <w:rFonts w:ascii="Times New Roman" w:hAnsi="Times New Roman" w:cs="Times New Roman"/>
          <w:b/>
          <w:sz w:val="24"/>
          <w:szCs w:val="24"/>
        </w:rPr>
        <w:t xml:space="preserve">Республиканский бюджет (раздел 0103, раздел 3207 (Фонд капитальных  вложений), раздел 1600, подразделы: 1601, 1602, 1603, 1304). </w:t>
      </w:r>
    </w:p>
    <w:p w:rsidR="00307C31" w:rsidRDefault="00307C31"/>
    <w:sectPr w:rsidR="00307C31" w:rsidSect="0030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2543"/>
    <w:rsid w:val="002057F3"/>
    <w:rsid w:val="002B6A0F"/>
    <w:rsid w:val="0030399F"/>
    <w:rsid w:val="00307C31"/>
    <w:rsid w:val="00310D3E"/>
    <w:rsid w:val="0035547D"/>
    <w:rsid w:val="00412543"/>
    <w:rsid w:val="0092435A"/>
    <w:rsid w:val="00AB25E6"/>
    <w:rsid w:val="00CB04F0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43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eadertext">
    <w:name w:val="headertext"/>
    <w:basedOn w:val="a"/>
    <w:uiPriority w:val="99"/>
    <w:rsid w:val="0041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4125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12543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1019</Words>
  <Characters>5812</Characters>
  <Application>Microsoft Office Word</Application>
  <DocSecurity>0</DocSecurity>
  <Lines>48</Lines>
  <Paragraphs>13</Paragraphs>
  <ScaleCrop>false</ScaleCrop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2</cp:revision>
  <cp:lastPrinted>2019-09-12T14:09:00Z</cp:lastPrinted>
  <dcterms:created xsi:type="dcterms:W3CDTF">2019-09-12T14:05:00Z</dcterms:created>
  <dcterms:modified xsi:type="dcterms:W3CDTF">2019-09-12T14:13:00Z</dcterms:modified>
</cp:coreProperties>
</file>