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404" w14:textId="5C08C37C" w:rsidR="00AF3707" w:rsidRDefault="00AF3707">
      <w:pPr>
        <w:pStyle w:val="20"/>
        <w:framePr w:w="10301" w:h="278" w:hRule="exact" w:wrap="none" w:vAnchor="page" w:hAnchor="page" w:x="968" w:y="519"/>
        <w:shd w:val="clear" w:color="auto" w:fill="auto"/>
        <w:spacing w:after="0" w:line="220" w:lineRule="exact"/>
      </w:pPr>
    </w:p>
    <w:p w14:paraId="29C60874" w14:textId="77777777" w:rsidR="00AF3707" w:rsidRDefault="001E0860" w:rsidP="009D658C">
      <w:pPr>
        <w:pStyle w:val="30"/>
        <w:framePr w:w="10301" w:h="1369" w:hRule="exact" w:wrap="none" w:vAnchor="page" w:hAnchor="page" w:x="968" w:y="1019"/>
        <w:shd w:val="clear" w:color="auto" w:fill="auto"/>
        <w:spacing w:before="0"/>
      </w:pPr>
      <w:r>
        <w:t>ТЕХНИЧЕСКОЕ ЗАДАНИЕ</w:t>
      </w:r>
    </w:p>
    <w:p w14:paraId="283C7A56" w14:textId="77777777" w:rsidR="009D658C" w:rsidRDefault="001E0860" w:rsidP="009D658C">
      <w:pPr>
        <w:pStyle w:val="30"/>
        <w:framePr w:w="10301" w:h="1369" w:hRule="exact" w:wrap="none" w:vAnchor="page" w:hAnchor="page" w:x="968" w:y="1019"/>
        <w:shd w:val="clear" w:color="auto" w:fill="auto"/>
        <w:spacing w:before="0"/>
      </w:pPr>
      <w:r>
        <w:t xml:space="preserve">НА ПРИОБРЕТЕНИЕ ЛИНЕЙНОГО ДАТЧИКА </w:t>
      </w:r>
      <w:r>
        <w:rPr>
          <w:lang w:val="en-US" w:eastAsia="en-US" w:bidi="en-US"/>
        </w:rPr>
        <w:t>VF</w:t>
      </w:r>
      <w:r w:rsidRPr="009D658C">
        <w:rPr>
          <w:lang w:eastAsia="en-US" w:bidi="en-US"/>
        </w:rPr>
        <w:t xml:space="preserve">12-4 </w:t>
      </w:r>
      <w:r>
        <w:t>К АППАРАТУ УЗИ</w:t>
      </w:r>
      <w:r>
        <w:br/>
      </w:r>
    </w:p>
    <w:p w14:paraId="66C7CEB8" w14:textId="1B5A65F2" w:rsidR="00AF3707" w:rsidRDefault="001E0860" w:rsidP="009D658C">
      <w:pPr>
        <w:pStyle w:val="30"/>
        <w:framePr w:w="10301" w:h="1369" w:hRule="exact" w:wrap="none" w:vAnchor="page" w:hAnchor="page" w:x="968" w:y="1019"/>
        <w:shd w:val="clear" w:color="auto" w:fill="auto"/>
        <w:spacing w:before="0" w:after="221"/>
      </w:pPr>
      <w:r>
        <w:t xml:space="preserve">Технические характеристики линейного датчика </w:t>
      </w:r>
      <w:r>
        <w:rPr>
          <w:lang w:val="en-US" w:eastAsia="en-US" w:bidi="en-US"/>
        </w:rPr>
        <w:t>VF</w:t>
      </w:r>
      <w:r w:rsidRPr="009D658C">
        <w:rPr>
          <w:lang w:eastAsia="en-US" w:bidi="en-US"/>
        </w:rPr>
        <w:t>12-4,</w:t>
      </w:r>
      <w:r w:rsidRPr="009D658C">
        <w:rPr>
          <w:lang w:eastAsia="en-US" w:bidi="en-US"/>
        </w:rPr>
        <w:br/>
      </w:r>
      <w:r>
        <w:t>совместимого с УЗ</w:t>
      </w:r>
      <w:r w:rsidR="009D658C">
        <w:t>И</w:t>
      </w:r>
      <w:r>
        <w:t xml:space="preserve">-аппаратом </w:t>
      </w:r>
      <w:r>
        <w:rPr>
          <w:lang w:val="en-US" w:eastAsia="en-US" w:bidi="en-US"/>
        </w:rPr>
        <w:t>SiemensAcuson</w:t>
      </w:r>
      <w:r w:rsidRPr="009D658C">
        <w:rPr>
          <w:lang w:eastAsia="en-US" w:bidi="en-US"/>
        </w:rPr>
        <w:t xml:space="preserve"> </w:t>
      </w:r>
      <w:r>
        <w:t>Х700</w:t>
      </w:r>
      <w:bookmarkStart w:id="0" w:name="_GoBack"/>
      <w:bookmarkEnd w:id="0"/>
    </w:p>
    <w:p w14:paraId="1A526680" w14:textId="77777777" w:rsidR="00AF3707" w:rsidRDefault="001E0860" w:rsidP="009D658C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ind w:firstLine="740"/>
        <w:jc w:val="both"/>
      </w:pPr>
      <w:r>
        <w:rPr>
          <w:rStyle w:val="21"/>
          <w:lang w:val="en-US" w:eastAsia="en-US" w:bidi="en-US"/>
        </w:rPr>
        <w:t>VF</w:t>
      </w:r>
      <w:r w:rsidRPr="009D658C">
        <w:rPr>
          <w:rStyle w:val="21"/>
          <w:lang w:eastAsia="en-US" w:bidi="en-US"/>
        </w:rPr>
        <w:t xml:space="preserve">12-4 </w:t>
      </w:r>
      <w:r>
        <w:rPr>
          <w:rStyle w:val="21"/>
        </w:rPr>
        <w:t xml:space="preserve">- линейный датчик </w:t>
      </w:r>
      <w:r>
        <w:t>для брюшной полости, педиатрии, малых органов, головы новорожденных и взрослых, мускульно-скелетной системы и периферийных сосудов.</w:t>
      </w:r>
    </w:p>
    <w:p w14:paraId="6633076D" w14:textId="77777777" w:rsidR="00AF3707" w:rsidRDefault="001E0860">
      <w:pPr>
        <w:pStyle w:val="40"/>
        <w:framePr w:w="10301" w:h="5544" w:hRule="exact" w:wrap="none" w:vAnchor="page" w:hAnchor="page" w:x="968" w:y="2872"/>
        <w:shd w:val="clear" w:color="auto" w:fill="auto"/>
      </w:pPr>
      <w:r>
        <w:rPr>
          <w:rStyle w:val="41"/>
          <w:b/>
          <w:bCs/>
          <w:i/>
          <w:iCs/>
        </w:rPr>
        <w:t>Поддерживаемые функции:</w:t>
      </w:r>
    </w:p>
    <w:p w14:paraId="4EB0D303" w14:textId="65627729" w:rsidR="00AF3707" w:rsidRDefault="009D658C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jc w:val="both"/>
      </w:pPr>
      <w:r>
        <w:rPr>
          <w:lang w:val="en-US"/>
        </w:rPr>
        <w:t>Dynamic</w:t>
      </w:r>
      <w:r w:rsidRPr="009D658C">
        <w:t xml:space="preserve"> </w:t>
      </w:r>
      <w:r w:rsidR="001E0860">
        <w:t>ТСЕ</w:t>
      </w:r>
      <w:r w:rsidRPr="009D658C">
        <w:t xml:space="preserve"> </w:t>
      </w:r>
      <w:r w:rsidR="001E0860">
        <w:t>(усиление тканевого контраста),</w:t>
      </w:r>
    </w:p>
    <w:p w14:paraId="299FE551" w14:textId="316E4BBD" w:rsidR="009D658C" w:rsidRDefault="001E0860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jc w:val="left"/>
      </w:pPr>
      <w:r w:rsidRPr="009D658C">
        <w:rPr>
          <w:b/>
          <w:bCs/>
        </w:rPr>
        <w:t xml:space="preserve">SieClear </w:t>
      </w:r>
      <w:r w:rsidRPr="009D658C">
        <w:t xml:space="preserve">и </w:t>
      </w:r>
      <w:r w:rsidRPr="009D658C">
        <w:rPr>
          <w:b/>
          <w:bCs/>
        </w:rPr>
        <w:t>AdvancedSieClear</w:t>
      </w:r>
      <w:r w:rsidR="009D658C" w:rsidRPr="009D658C">
        <w:rPr>
          <w:rStyle w:val="210pt"/>
          <w:lang w:val="ru-RU"/>
        </w:rPr>
        <w:t xml:space="preserve"> </w:t>
      </w:r>
      <w:r w:rsidRPr="009D658C">
        <w:rPr>
          <w:rStyle w:val="210pt"/>
          <w:b w:val="0"/>
          <w:bCs w:val="0"/>
          <w:lang w:val="ru-RU"/>
        </w:rPr>
        <w:t>(</w:t>
      </w:r>
      <w:r w:rsidR="009D658C">
        <w:rPr>
          <w:rStyle w:val="210pt"/>
          <w:b w:val="0"/>
          <w:bCs w:val="0"/>
          <w:lang w:val="ru-RU"/>
        </w:rPr>
        <w:t>составное</w:t>
      </w:r>
      <w:r w:rsidRPr="009D658C">
        <w:rPr>
          <w:rStyle w:val="210pt"/>
          <w:lang w:val="ru-RU"/>
        </w:rPr>
        <w:t xml:space="preserve"> </w:t>
      </w:r>
      <w:r>
        <w:t xml:space="preserve">многолучевое сканирование), </w:t>
      </w:r>
    </w:p>
    <w:p w14:paraId="709C01F0" w14:textId="630EC335" w:rsidR="00AF3707" w:rsidRDefault="009D658C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jc w:val="left"/>
      </w:pPr>
      <w:r>
        <w:rPr>
          <w:lang w:val="en-US"/>
        </w:rPr>
        <w:t>Clarifty</w:t>
      </w:r>
      <w:r w:rsidRPr="009D658C">
        <w:t xml:space="preserve"> </w:t>
      </w:r>
      <w:r>
        <w:rPr>
          <w:lang w:val="en-US"/>
        </w:rPr>
        <w:t>VE</w:t>
      </w:r>
      <w:r w:rsidRPr="009D658C">
        <w:t xml:space="preserve"> </w:t>
      </w:r>
      <w:r w:rsidR="001E0860">
        <w:t>(высококачественное отображение стенок сосудов),</w:t>
      </w:r>
    </w:p>
    <w:p w14:paraId="2C034AF3" w14:textId="46642CE1" w:rsidR="00AF3707" w:rsidRDefault="009D658C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jc w:val="both"/>
      </w:pPr>
      <w:r>
        <w:rPr>
          <w:lang w:val="en-US"/>
        </w:rPr>
        <w:t>SPI</w:t>
      </w:r>
      <w:r w:rsidRPr="009D658C">
        <w:t xml:space="preserve"> </w:t>
      </w:r>
      <w:r>
        <w:t>(</w:t>
      </w:r>
      <w:r w:rsidR="001E0860">
        <w:t>панорамное изображение),</w:t>
      </w:r>
    </w:p>
    <w:p w14:paraId="155F225F" w14:textId="0C1A9BF8" w:rsidR="00AF3707" w:rsidRDefault="001E0860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jc w:val="both"/>
      </w:pPr>
      <w:r>
        <w:t>АНР</w:t>
      </w:r>
      <w:r w:rsidR="009D658C">
        <w:t xml:space="preserve"> </w:t>
      </w:r>
      <w:r>
        <w:t>(полуавтоматическое обнаружение границ слоя комплекса интима-медиа)</w:t>
      </w:r>
    </w:p>
    <w:p w14:paraId="7DB66508" w14:textId="77777777" w:rsidR="00AF3707" w:rsidRDefault="001E0860">
      <w:pPr>
        <w:pStyle w:val="40"/>
        <w:framePr w:w="10301" w:h="5544" w:hRule="exact" w:wrap="none" w:vAnchor="page" w:hAnchor="page" w:x="968" w:y="2872"/>
        <w:shd w:val="clear" w:color="auto" w:fill="auto"/>
      </w:pPr>
      <w:r>
        <w:rPr>
          <w:rStyle w:val="41"/>
          <w:b/>
          <w:bCs/>
          <w:i/>
          <w:iCs/>
        </w:rPr>
        <w:t>Программные опции:</w:t>
      </w:r>
    </w:p>
    <w:p w14:paraId="594EF1E5" w14:textId="77777777" w:rsidR="00AF3707" w:rsidRDefault="001E0860">
      <w:pPr>
        <w:pStyle w:val="20"/>
        <w:framePr w:w="10301" w:h="5544" w:hRule="exact" w:wrap="none" w:vAnchor="page" w:hAnchor="page" w:x="968" w:y="2872"/>
        <w:shd w:val="clear" w:color="auto" w:fill="auto"/>
        <w:spacing w:after="0" w:line="274" w:lineRule="exact"/>
        <w:jc w:val="both"/>
      </w:pPr>
      <w:r>
        <w:t xml:space="preserve">Система </w:t>
      </w:r>
      <w:r>
        <w:rPr>
          <w:lang w:val="en-US" w:eastAsia="en-US" w:bidi="en-US"/>
        </w:rPr>
        <w:t>ACUSON</w:t>
      </w:r>
      <w:r w:rsidRPr="009D658C">
        <w:rPr>
          <w:lang w:eastAsia="en-US" w:bidi="en-US"/>
        </w:rPr>
        <w:t xml:space="preserve"> </w:t>
      </w:r>
      <w:r>
        <w:t>Х700 поддерживает все виды исследований, в том числе:</w:t>
      </w:r>
    </w:p>
    <w:p w14:paraId="44A2C01F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Абдоминальные;</w:t>
      </w:r>
    </w:p>
    <w:p w14:paraId="32B14E9D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Акушерско-гинекологические;</w:t>
      </w:r>
    </w:p>
    <w:p w14:paraId="57219F58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Кардиологические;</w:t>
      </w:r>
    </w:p>
    <w:p w14:paraId="3FEAE9A8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Исследования поверхностных органов;</w:t>
      </w:r>
    </w:p>
    <w:p w14:paraId="3212A115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Сосудистые исследования;</w:t>
      </w:r>
    </w:p>
    <w:p w14:paraId="0FBA6E4F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Эндополостные;</w:t>
      </w:r>
    </w:p>
    <w:p w14:paraId="7E2691B4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Интраоперационные исследования;</w:t>
      </w:r>
    </w:p>
    <w:p w14:paraId="28B0B1C2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Урологические;</w:t>
      </w:r>
    </w:p>
    <w:p w14:paraId="1DA033A0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Ортопедические;</w:t>
      </w:r>
    </w:p>
    <w:p w14:paraId="25E933EE" w14:textId="77777777" w:rsidR="00AF3707" w:rsidRDefault="001E0860">
      <w:pPr>
        <w:pStyle w:val="20"/>
        <w:framePr w:w="10301" w:h="5544" w:hRule="exact" w:wrap="none" w:vAnchor="page" w:hAnchor="page" w:x="968" w:y="287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74" w:lineRule="exact"/>
        <w:jc w:val="both"/>
      </w:pPr>
      <w:r>
        <w:t>Экстренная ультразвуковая диагностическая помощь.</w:t>
      </w:r>
    </w:p>
    <w:p w14:paraId="7C7AA41A" w14:textId="77777777" w:rsidR="00AF3707" w:rsidRDefault="00AF3707">
      <w:pPr>
        <w:rPr>
          <w:sz w:val="2"/>
          <w:szCs w:val="2"/>
        </w:rPr>
      </w:pPr>
    </w:p>
    <w:sectPr w:rsidR="00AF37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A659" w14:textId="77777777" w:rsidR="007473C7" w:rsidRDefault="007473C7">
      <w:r>
        <w:separator/>
      </w:r>
    </w:p>
  </w:endnote>
  <w:endnote w:type="continuationSeparator" w:id="0">
    <w:p w14:paraId="62C42540" w14:textId="77777777" w:rsidR="007473C7" w:rsidRDefault="007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79B1" w14:textId="77777777" w:rsidR="007473C7" w:rsidRDefault="007473C7"/>
  </w:footnote>
  <w:footnote w:type="continuationSeparator" w:id="0">
    <w:p w14:paraId="663FF4A5" w14:textId="77777777" w:rsidR="007473C7" w:rsidRDefault="00747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5EE8"/>
    <w:multiLevelType w:val="multilevel"/>
    <w:tmpl w:val="45821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707"/>
    <w:rsid w:val="001E0860"/>
    <w:rsid w:val="006C0520"/>
    <w:rsid w:val="007473C7"/>
    <w:rsid w:val="009D658C"/>
    <w:rsid w:val="00A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836A"/>
  <w15:docId w15:val="{8B26BA20-0BC9-4540-A583-C3916EE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uizigz3</cp:lastModifiedBy>
  <cp:revision>3</cp:revision>
  <dcterms:created xsi:type="dcterms:W3CDTF">2020-06-26T06:22:00Z</dcterms:created>
  <dcterms:modified xsi:type="dcterms:W3CDTF">2020-06-29T09:26:00Z</dcterms:modified>
</cp:coreProperties>
</file>