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Default="00C61BE4" w:rsidP="00983EB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:rsidR="0068573E" w:rsidRPr="0081502F" w:rsidRDefault="00B35A2A" w:rsidP="00E66B8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b/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037C82" w:rsidRPr="0081502F">
        <w:rPr>
          <w:b/>
        </w:rPr>
        <w:t>на приобретение оборудования</w:t>
      </w:r>
      <w:r w:rsidR="00ED05FF" w:rsidRPr="0081502F">
        <w:rPr>
          <w:b/>
        </w:rPr>
        <w:t>, предметов длительного пользования №4</w:t>
      </w:r>
      <w:r w:rsidR="0068573E" w:rsidRPr="0081502F">
        <w:rPr>
          <w:b/>
          <w:spacing w:val="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6148"/>
        <w:gridCol w:w="2189"/>
      </w:tblGrid>
      <w:tr w:rsidR="00232574" w:rsidRPr="005341CD" w:rsidTr="0021000D">
        <w:trPr>
          <w:trHeight w:val="227"/>
        </w:trPr>
        <w:tc>
          <w:tcPr>
            <w:tcW w:w="722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154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1123" w:type="pct"/>
            <w:vAlign w:val="center"/>
          </w:tcPr>
          <w:p w:rsidR="00232574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:rsidR="00232574" w:rsidRPr="005341CD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2574" w:rsidRPr="005341CD" w:rsidTr="0021000D">
        <w:trPr>
          <w:trHeight w:val="351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4" w:type="pct"/>
            <w:vAlign w:val="center"/>
          </w:tcPr>
          <w:p w:rsidR="00232574" w:rsidRPr="00CA0C32" w:rsidRDefault="0021000D" w:rsidP="003425D9">
            <w:pPr>
              <w:ind w:left="50" w:right="-113"/>
              <w:contextualSpacing/>
              <w:rPr>
                <w:spacing w:val="4"/>
                <w:sz w:val="22"/>
                <w:szCs w:val="22"/>
              </w:rPr>
            </w:pPr>
            <w:r>
              <w:t>Автоматический биохимический анализатор</w:t>
            </w:r>
          </w:p>
        </w:tc>
        <w:tc>
          <w:tcPr>
            <w:tcW w:w="1123" w:type="pct"/>
            <w:vAlign w:val="center"/>
          </w:tcPr>
          <w:p w:rsidR="00232574" w:rsidRPr="005341CD" w:rsidRDefault="0021000D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2574" w:rsidRPr="005341CD" w:rsidTr="0021000D">
        <w:trPr>
          <w:trHeight w:val="412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4" w:type="pct"/>
            <w:vAlign w:val="center"/>
          </w:tcPr>
          <w:p w:rsidR="00232574" w:rsidRPr="00CA0C32" w:rsidRDefault="0021000D" w:rsidP="003425D9">
            <w:pPr>
              <w:ind w:left="50" w:right="34"/>
              <w:contextualSpacing/>
              <w:rPr>
                <w:sz w:val="22"/>
                <w:szCs w:val="22"/>
              </w:rPr>
            </w:pPr>
            <w:r>
              <w:t>Портативный электрокардиограф</w:t>
            </w:r>
            <w:r w:rsidR="00A60522">
              <w:t xml:space="preserve"> 3-х канальный</w:t>
            </w:r>
          </w:p>
        </w:tc>
        <w:tc>
          <w:tcPr>
            <w:tcW w:w="1123" w:type="pct"/>
            <w:vAlign w:val="center"/>
          </w:tcPr>
          <w:p w:rsidR="00232574" w:rsidRPr="005341CD" w:rsidRDefault="003D5F3F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05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</w:tr>
      <w:tr w:rsidR="00232574" w:rsidRPr="005341CD" w:rsidTr="0021000D">
        <w:trPr>
          <w:trHeight w:val="418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4" w:type="pct"/>
            <w:vAlign w:val="center"/>
          </w:tcPr>
          <w:p w:rsidR="00232574" w:rsidRPr="00CA0C32" w:rsidRDefault="00A60522" w:rsidP="00525C81">
            <w:pPr>
              <w:ind w:left="50" w:right="-113"/>
              <w:contextualSpacing/>
              <w:rPr>
                <w:sz w:val="22"/>
                <w:szCs w:val="22"/>
              </w:rPr>
            </w:pPr>
            <w:r>
              <w:t>Холтер ЭКГ</w:t>
            </w:r>
          </w:p>
        </w:tc>
        <w:tc>
          <w:tcPr>
            <w:tcW w:w="1123" w:type="pct"/>
            <w:vAlign w:val="center"/>
          </w:tcPr>
          <w:p w:rsidR="00232574" w:rsidRPr="005341CD" w:rsidRDefault="00A60522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2574" w:rsidRPr="005341CD" w:rsidTr="0021000D">
        <w:trPr>
          <w:trHeight w:val="424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4" w:type="pct"/>
            <w:vAlign w:val="center"/>
          </w:tcPr>
          <w:p w:rsidR="00232574" w:rsidRPr="00CA0C32" w:rsidRDefault="00A60522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Аппарат УЗИ</w:t>
            </w:r>
          </w:p>
        </w:tc>
        <w:tc>
          <w:tcPr>
            <w:tcW w:w="1123" w:type="pct"/>
            <w:vAlign w:val="center"/>
          </w:tcPr>
          <w:p w:rsidR="00232574" w:rsidRPr="005341CD" w:rsidRDefault="00A60522" w:rsidP="009600E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2574" w:rsidRPr="005341CD" w:rsidTr="0021000D">
        <w:trPr>
          <w:trHeight w:val="403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4" w:type="pct"/>
            <w:vAlign w:val="center"/>
          </w:tcPr>
          <w:p w:rsidR="00232574" w:rsidRPr="00CA0C32" w:rsidRDefault="00A60522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Светильник потолочный бестеневой</w:t>
            </w:r>
          </w:p>
        </w:tc>
        <w:tc>
          <w:tcPr>
            <w:tcW w:w="1123" w:type="pct"/>
            <w:vAlign w:val="center"/>
          </w:tcPr>
          <w:p w:rsidR="00232574" w:rsidRPr="005341CD" w:rsidRDefault="00A60522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2574" w:rsidRPr="005341CD" w:rsidTr="0021000D">
        <w:trPr>
          <w:trHeight w:val="422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4" w:type="pct"/>
            <w:vAlign w:val="center"/>
          </w:tcPr>
          <w:p w:rsidR="00232574" w:rsidRPr="00CA0C32" w:rsidRDefault="00A60522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Электрокардиограф</w:t>
            </w:r>
          </w:p>
        </w:tc>
        <w:tc>
          <w:tcPr>
            <w:tcW w:w="1123" w:type="pct"/>
            <w:vAlign w:val="center"/>
          </w:tcPr>
          <w:p w:rsidR="00232574" w:rsidRPr="005341CD" w:rsidRDefault="00A60522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2574" w:rsidRPr="005341CD" w:rsidTr="0021000D">
        <w:trPr>
          <w:trHeight w:val="414"/>
        </w:trPr>
        <w:tc>
          <w:tcPr>
            <w:tcW w:w="722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4" w:type="pct"/>
            <w:vAlign w:val="center"/>
          </w:tcPr>
          <w:p w:rsidR="00232574" w:rsidRPr="00CA0C32" w:rsidRDefault="00A60522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Кушетка медицинская</w:t>
            </w:r>
          </w:p>
        </w:tc>
        <w:tc>
          <w:tcPr>
            <w:tcW w:w="1123" w:type="pct"/>
            <w:vAlign w:val="center"/>
          </w:tcPr>
          <w:p w:rsidR="00232574" w:rsidRPr="005341CD" w:rsidRDefault="00A60522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A5871" w:rsidRDefault="00AA5871" w:rsidP="00B61919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p w:rsidR="00C61BE4" w:rsidRDefault="00C61BE4" w:rsidP="00E66B84">
      <w:pPr>
        <w:spacing w:line="276" w:lineRule="auto"/>
        <w:ind w:firstLine="709"/>
        <w:jc w:val="both"/>
      </w:pPr>
      <w:r w:rsidRPr="00891A3E">
        <w:t xml:space="preserve">В </w:t>
      </w:r>
      <w:r w:rsidR="00365957"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365957"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C61BE4" w:rsidRPr="00891A3E" w:rsidRDefault="00C61BE4" w:rsidP="00E66B84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A60522">
        <w:rPr>
          <w:b/>
          <w:color w:val="FF0000"/>
        </w:rPr>
        <w:t>22</w:t>
      </w:r>
      <w:r w:rsidR="004966EA" w:rsidRPr="002F30C5">
        <w:rPr>
          <w:b/>
          <w:color w:val="FF0000"/>
        </w:rPr>
        <w:t xml:space="preserve"> </w:t>
      </w:r>
      <w:r w:rsidR="00A60522">
        <w:rPr>
          <w:b/>
          <w:color w:val="FF0000"/>
        </w:rPr>
        <w:t>мая</w:t>
      </w:r>
      <w:r w:rsidRPr="009823B9">
        <w:rPr>
          <w:b/>
        </w:rPr>
        <w:t xml:space="preserve"> 20</w:t>
      </w:r>
      <w:r w:rsidR="002F30C5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(каб. № 10).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 w:rsidR="002F30C5">
        <w:t>секретариата тендерной комиссии МЗ ПМР</w:t>
      </w:r>
      <w:r w:rsidRPr="00891A3E">
        <w:t xml:space="preserve">: </w:t>
      </w:r>
      <w:hyperlink r:id="rId8" w:history="1">
        <w:r w:rsidR="00CB5E37" w:rsidRPr="00490839">
          <w:rPr>
            <w:rStyle w:val="a6"/>
            <w:rFonts w:eastAsiaTheme="majorEastAsia"/>
            <w:lang w:val="en-US"/>
          </w:rPr>
          <w:t>tender</w:t>
        </w:r>
        <w:r w:rsidR="00CB5E37" w:rsidRPr="00490839">
          <w:rPr>
            <w:rStyle w:val="a6"/>
            <w:rFonts w:eastAsiaTheme="majorEastAsia"/>
          </w:rPr>
          <w:t>.</w:t>
        </w:r>
        <w:r w:rsidR="00CB5E37" w:rsidRPr="00490839">
          <w:rPr>
            <w:rStyle w:val="a6"/>
            <w:rFonts w:eastAsiaTheme="majorEastAsia"/>
            <w:lang w:val="en-US"/>
          </w:rPr>
          <w:t>mzpmr</w:t>
        </w:r>
        <w:r w:rsidR="00CB5E37" w:rsidRPr="00490839">
          <w:rPr>
            <w:rStyle w:val="a6"/>
            <w:rFonts w:eastAsiaTheme="majorEastAsia"/>
          </w:rPr>
          <w:t>@</w:t>
        </w:r>
        <w:r w:rsidR="00CB5E37" w:rsidRPr="00490839">
          <w:rPr>
            <w:rStyle w:val="a6"/>
            <w:rFonts w:eastAsiaTheme="majorEastAsia"/>
            <w:lang w:val="en-US"/>
          </w:rPr>
          <w:t>gmail</w:t>
        </w:r>
        <w:r w:rsidR="00CB5E37" w:rsidRPr="00490839">
          <w:rPr>
            <w:rStyle w:val="a6"/>
            <w:rFonts w:eastAsiaTheme="majorEastAsia"/>
          </w:rPr>
          <w:t>.</w:t>
        </w:r>
        <w:r w:rsidR="00CB5E37" w:rsidRPr="00490839">
          <w:rPr>
            <w:rStyle w:val="a6"/>
            <w:lang w:val="en-US"/>
          </w:rPr>
          <w:t>com</w:t>
        </w:r>
        <w:r w:rsidR="00CB5E37" w:rsidRPr="00490839">
          <w:rPr>
            <w:rStyle w:val="a6"/>
          </w:rPr>
          <w:t xml:space="preserve"> </w:t>
        </w:r>
      </w:hyperlink>
      <w:r w:rsidR="002F30C5"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:rsidR="005341CD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 w:rsidR="00E324C4">
        <w:rPr>
          <w:b/>
        </w:rPr>
        <w:t>в 14:00 часов</w:t>
      </w:r>
      <w:r w:rsidR="00E324C4" w:rsidRPr="00891A3E">
        <w:t xml:space="preserve"> </w:t>
      </w:r>
      <w:r w:rsidR="00A60522">
        <w:rPr>
          <w:b/>
          <w:color w:val="FF0000"/>
        </w:rPr>
        <w:t>25</w:t>
      </w:r>
      <w:r w:rsidR="00E324C4" w:rsidRPr="002F30C5">
        <w:rPr>
          <w:b/>
          <w:color w:val="FF0000"/>
        </w:rPr>
        <w:t xml:space="preserve"> </w:t>
      </w:r>
      <w:r w:rsidR="002F30C5" w:rsidRPr="002F30C5">
        <w:rPr>
          <w:b/>
          <w:color w:val="FF0000"/>
        </w:rPr>
        <w:t>ма</w:t>
      </w:r>
      <w:r w:rsidR="00A60522">
        <w:rPr>
          <w:b/>
          <w:color w:val="FF0000"/>
        </w:rPr>
        <w:t>я</w:t>
      </w:r>
      <w:r w:rsidR="00E324C4">
        <w:rPr>
          <w:b/>
        </w:rPr>
        <w:t xml:space="preserve"> 20</w:t>
      </w:r>
      <w:r w:rsidR="002F30C5">
        <w:rPr>
          <w:b/>
        </w:rPr>
        <w:t>20</w:t>
      </w:r>
      <w:r w:rsidR="00E324C4">
        <w:rPr>
          <w:b/>
        </w:rPr>
        <w:t xml:space="preserve"> года </w:t>
      </w:r>
      <w:r w:rsidRPr="00891A3E">
        <w:t>в Министерстве здравоохранения ПМР по адресу: г. Тирасполь, пер. Днестровский, 3</w:t>
      </w:r>
      <w:r w:rsidR="004966EA">
        <w:t xml:space="preserve"> </w:t>
      </w:r>
      <w:r w:rsidR="005341CD" w:rsidRPr="005341CD">
        <w:rPr>
          <w:b/>
        </w:rPr>
        <w:t xml:space="preserve"> </w:t>
      </w:r>
    </w:p>
    <w:p w:rsidR="00C61BE4" w:rsidRPr="002B5D40" w:rsidRDefault="00C61BE4" w:rsidP="00E66B8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E66B8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 w:rsidR="00365957"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отсутствует обязательный перечень документов рассматриваться не будут.</w:t>
      </w:r>
    </w:p>
    <w:p w:rsidR="00C61BE4" w:rsidRDefault="00C61BE4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Pr="00365957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lastRenderedPageBreak/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5C57AE" w:rsidRDefault="005C57AE" w:rsidP="00E66B8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41"/>
        <w:gridCol w:w="1460"/>
        <w:gridCol w:w="1318"/>
        <w:gridCol w:w="1890"/>
        <w:gridCol w:w="1314"/>
        <w:gridCol w:w="1458"/>
        <w:gridCol w:w="877"/>
        <w:gridCol w:w="875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54C5" w:rsidRDefault="007354C5" w:rsidP="00E66B8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:rsidR="00C61BE4" w:rsidRPr="000336C0" w:rsidRDefault="00C61BE4" w:rsidP="00E66B8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</w:t>
      </w:r>
      <w:r w:rsidR="009C32FC" w:rsidRPr="000336C0">
        <w:rPr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47111D" w:rsidRDefault="006F6321" w:rsidP="00424A3E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sectPr w:rsidR="0047111D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38" w:rsidRDefault="00070138" w:rsidP="00597E70">
      <w:r>
        <w:separator/>
      </w:r>
    </w:p>
  </w:endnote>
  <w:endnote w:type="continuationSeparator" w:id="1">
    <w:p w:rsidR="00070138" w:rsidRDefault="00070138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38" w:rsidRDefault="00070138" w:rsidP="00597E70">
      <w:r>
        <w:separator/>
      </w:r>
    </w:p>
  </w:footnote>
  <w:footnote w:type="continuationSeparator" w:id="1">
    <w:p w:rsidR="00070138" w:rsidRDefault="00070138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9159DA">
        <w:pPr>
          <w:pStyle w:val="af0"/>
          <w:jc w:val="right"/>
        </w:pPr>
        <w:fldSimple w:instr=" PAGE   \* MERGEFORMAT ">
          <w:r w:rsidR="007B3D3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70138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3D33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159DA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zpmr@gmail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2020-04-30T13:55:00Z</dcterms:modified>
</cp:coreProperties>
</file>