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22" w:rsidRPr="0073509E" w:rsidRDefault="00A60522" w:rsidP="00A60522">
      <w:pPr>
        <w:ind w:firstLine="709"/>
        <w:jc w:val="center"/>
        <w:rPr>
          <w:b/>
          <w:bCs/>
          <w:color w:val="000000"/>
        </w:rPr>
      </w:pPr>
      <w:r w:rsidRPr="0073509E">
        <w:rPr>
          <w:b/>
        </w:rPr>
        <w:t>Медико-технические требования на а</w:t>
      </w:r>
      <w:r w:rsidRPr="0073509E">
        <w:rPr>
          <w:b/>
          <w:bCs/>
          <w:color w:val="000000"/>
        </w:rPr>
        <w:t>ппарат УЗИ</w:t>
      </w:r>
    </w:p>
    <w:p w:rsidR="00A60522" w:rsidRPr="0073509E" w:rsidRDefault="00A60522" w:rsidP="00A60522">
      <w:pPr>
        <w:ind w:firstLine="709"/>
        <w:jc w:val="center"/>
      </w:pPr>
      <w:r w:rsidRPr="0073509E">
        <w:rPr>
          <w:bCs/>
          <w:color w:val="000000"/>
        </w:rPr>
        <w:t>(для ГУ «Тираспольский клинический центр амбулаторно-поликлинической помощи)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969"/>
        <w:gridCol w:w="1701"/>
        <w:gridCol w:w="1559"/>
        <w:gridCol w:w="1418"/>
      </w:tblGrid>
      <w:tr w:rsidR="00A60522" w:rsidRPr="0073509E" w:rsidTr="004C41E3">
        <w:trPr>
          <w:trHeight w:val="527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Параметры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49"/>
              <w:jc w:val="center"/>
            </w:pPr>
            <w:r w:rsidRPr="0073509E">
              <w:t xml:space="preserve">Требования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left="-55" w:right="-137"/>
            </w:pPr>
            <w:r w:rsidRPr="0073509E">
              <w:t>Соответствие требованию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left="-80" w:right="-94"/>
              <w:jc w:val="center"/>
            </w:pPr>
            <w:r w:rsidRPr="0073509E">
              <w:t>Примечание</w:t>
            </w:r>
          </w:p>
        </w:tc>
      </w:tr>
      <w:tr w:rsidR="00A60522" w:rsidRPr="0073509E" w:rsidTr="004C41E3">
        <w:trPr>
          <w:trHeight w:val="70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  <w:rPr>
                <w:b/>
                <w:bCs/>
              </w:rPr>
            </w:pPr>
            <w:r w:rsidRPr="0073509E">
              <w:rPr>
                <w:b/>
                <w:bCs/>
              </w:rPr>
              <w:t>1. Общие требования</w:t>
            </w:r>
          </w:p>
        </w:tc>
      </w:tr>
      <w:tr w:rsidR="00A60522" w:rsidRPr="0073509E" w:rsidTr="004C41E3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Модель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 </w:t>
            </w:r>
          </w:p>
        </w:tc>
      </w:tr>
      <w:tr w:rsidR="00A60522" w:rsidRPr="0073509E" w:rsidTr="004C41E3">
        <w:trPr>
          <w:trHeight w:val="223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Страна происхождения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</w:tr>
      <w:tr w:rsidR="00A60522" w:rsidRPr="0073509E" w:rsidTr="004C41E3">
        <w:trPr>
          <w:trHeight w:val="148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1.3</w:t>
            </w:r>
          </w:p>
        </w:tc>
        <w:tc>
          <w:tcPr>
            <w:tcW w:w="3969" w:type="dxa"/>
            <w:shd w:val="clear" w:color="auto" w:fill="auto"/>
          </w:tcPr>
          <w:p w:rsidR="00A60522" w:rsidRPr="0073509E" w:rsidRDefault="00A60522" w:rsidP="004C41E3">
            <w:pPr>
              <w:jc w:val="both"/>
            </w:pPr>
            <w:r w:rsidRPr="0073509E">
              <w:t>Год выпуска, не ранее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</w:tr>
      <w:tr w:rsidR="00A60522" w:rsidRPr="0073509E" w:rsidTr="004C41E3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1.4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206"/>
            </w:pPr>
            <w:r w:rsidRPr="0073509E">
              <w:t xml:space="preserve"> Сертификат (декларация) соответствия Госстандарта России,  Украины, 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left="-66"/>
              <w:jc w:val="center"/>
            </w:pPr>
            <w:r w:rsidRPr="0073509E"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</w:tr>
      <w:tr w:rsidR="00A60522" w:rsidRPr="0073509E" w:rsidTr="004C41E3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1.5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Спецификация на предлагаемую медицинскую технику (комплектация)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</w:tr>
      <w:tr w:rsidR="00A60522" w:rsidRPr="0073509E" w:rsidTr="004C41E3">
        <w:trPr>
          <w:trHeight w:val="275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  <w:rPr>
                <w:b/>
              </w:rPr>
            </w:pPr>
            <w:r w:rsidRPr="0073509E">
              <w:rPr>
                <w:b/>
              </w:rPr>
              <w:t>2. Технические характеристики</w:t>
            </w:r>
          </w:p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Универсальная многофункциональная полностью цифровая портативная ультразвуковая система для общей визуализации с возможностью проведения общих, абдоминальных и других  исследований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Ультразвуковой сканер должен быть новым, ранее не использованным для демо-целей, нигде ранее не установленным. Сканер должен  поставляться в фирменной упаковке компании-производителя с сохранением датчиков удара.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rPr>
                <w:b/>
              </w:rPr>
              <w:t>Области применения</w:t>
            </w:r>
            <w:r w:rsidRPr="0073509E">
              <w:t xml:space="preserve">: </w:t>
            </w:r>
          </w:p>
          <w:p w:rsidR="00A60522" w:rsidRPr="0073509E" w:rsidRDefault="00A60522" w:rsidP="004C41E3">
            <w:r w:rsidRPr="0073509E">
              <w:t>акушерство-гинекология</w:t>
            </w:r>
          </w:p>
          <w:p w:rsidR="00A60522" w:rsidRPr="0073509E" w:rsidRDefault="00A60522" w:rsidP="004C41E3">
            <w:r w:rsidRPr="0073509E">
              <w:t>гастроэнтерология</w:t>
            </w:r>
          </w:p>
          <w:p w:rsidR="00A60522" w:rsidRPr="0073509E" w:rsidRDefault="00A60522" w:rsidP="004C41E3">
            <w:r w:rsidRPr="0073509E">
              <w:t>эндокринология и исследования молочных желез</w:t>
            </w:r>
          </w:p>
          <w:p w:rsidR="00A60522" w:rsidRPr="0073509E" w:rsidRDefault="00A60522" w:rsidP="004C41E3">
            <w:r w:rsidRPr="0073509E">
              <w:t>урология</w:t>
            </w:r>
          </w:p>
          <w:p w:rsidR="00A60522" w:rsidRPr="0073509E" w:rsidRDefault="00A60522" w:rsidP="004C41E3">
            <w:r w:rsidRPr="0073509E">
              <w:t>онкология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</w:p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b/>
              </w:rPr>
            </w:pPr>
            <w:r w:rsidRPr="0073509E">
              <w:rPr>
                <w:b/>
              </w:rPr>
              <w:t>Основной блок: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Технологии цифрового формирования луча, позволяющие 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Увеличение изображения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10 раз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Технология анатомического М-режима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rPr>
                <w:b/>
              </w:rPr>
              <w:t>Датчики</w:t>
            </w:r>
            <w:r w:rsidRPr="0073509E"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2.9.1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Одновременное подключение не менее, активных  датчиков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rPr>
                <w:lang w:val="en-US"/>
              </w:rPr>
              <w:t>3</w:t>
            </w:r>
            <w:r w:rsidRPr="0073509E">
              <w:t xml:space="preserve"> 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b/>
              </w:rPr>
            </w:pPr>
            <w:r w:rsidRPr="0073509E">
              <w:rPr>
                <w:b/>
              </w:rPr>
              <w:t xml:space="preserve">Типы поддерживаемых возможных  датчиков: </w:t>
            </w:r>
          </w:p>
          <w:p w:rsidR="00A60522" w:rsidRPr="0073509E" w:rsidRDefault="00A60522" w:rsidP="004C41E3">
            <w:r w:rsidRPr="0073509E">
              <w:t>Конвексные</w:t>
            </w:r>
          </w:p>
          <w:p w:rsidR="00A60522" w:rsidRPr="0073509E" w:rsidRDefault="00A60522" w:rsidP="004C41E3">
            <w:r w:rsidRPr="0073509E">
              <w:t xml:space="preserve">Линейные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2.10.1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 xml:space="preserve">Конвексный датчик для </w:t>
            </w:r>
            <w:r w:rsidRPr="0073509E">
              <w:lastRenderedPageBreak/>
              <w:t xml:space="preserve">исследования органов брюшной полости и забрюшинного пространства. </w:t>
            </w:r>
          </w:p>
          <w:p w:rsidR="00A60522" w:rsidRPr="0073509E" w:rsidRDefault="00A60522" w:rsidP="004C41E3">
            <w:r w:rsidRPr="0073509E">
              <w:t>Частотный диапазон 2,5 – 6,0  , МГц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lastRenderedPageBreak/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lastRenderedPageBreak/>
              <w:t>2.10.2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Линейный мультичастотный электронный датчик для исследования поверхностно расположенных органов, структур и сосудов</w:t>
            </w:r>
          </w:p>
          <w:p w:rsidR="00A60522" w:rsidRPr="0073509E" w:rsidRDefault="00A60522" w:rsidP="004C41E3">
            <w:r w:rsidRPr="0073509E">
              <w:t>Частотный диапазон 7,5 – 10,0  МГц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  <w:rPr>
                <w:b/>
              </w:rPr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rPr>
                <w:lang w:val="en-US"/>
              </w:rPr>
              <w:t>2</w:t>
            </w:r>
            <w:r w:rsidRPr="0073509E">
              <w:t>.10.3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Конвексный эндополостной, трансвагинальный  датчик для исследования в области акушерства и гинекологии</w:t>
            </w:r>
          </w:p>
          <w:p w:rsidR="00A60522" w:rsidRPr="0073509E" w:rsidRDefault="00A60522" w:rsidP="004C41E3">
            <w:r w:rsidRPr="0073509E">
              <w:t>Частотный диапазон 3,8– 7,5  МГц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b/>
              </w:rPr>
            </w:pPr>
            <w:r w:rsidRPr="0073509E">
              <w:rPr>
                <w:b/>
              </w:rPr>
              <w:t>Характеристики монитора: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Цветной LCD монитор, диагональ не менее 15 дюймов,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Разрешение монитора не менее, пикселей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rPr>
                <w:color w:val="000000"/>
              </w:rPr>
              <w:t>1024x768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Угол обзора не менее 150 градусов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b/>
              </w:rPr>
            </w:pPr>
            <w:r w:rsidRPr="0073509E">
              <w:rPr>
                <w:b/>
              </w:rPr>
              <w:t>Архивация изображений: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Объем жесткого диска встроенной рабочей станции не менее, ГБ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150 Гб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2.12.2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 xml:space="preserve">Архивация через USB </w:t>
            </w:r>
            <w:r w:rsidRPr="0073509E">
              <w:rPr>
                <w:color w:val="000000"/>
                <w:shd w:val="clear" w:color="auto" w:fill="FFFFFF"/>
              </w:rPr>
              <w:t>порты в количестве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b/>
              </w:rPr>
            </w:pPr>
            <w:r w:rsidRPr="0073509E">
              <w:rPr>
                <w:b/>
              </w:rPr>
              <w:t>Дополнительные требования: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2.13.1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Съёмная батарея,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2.13.2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Блок бесперебойного питания, не мене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1 500 ампер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2.13.3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Интерфейс на русском или английском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2.13.4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 xml:space="preserve">Время полного заряда батареи, не более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4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2.13.5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 xml:space="preserve">Время автономной работы от батареи, не менее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60 минут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2.13.6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Гели для УЗИ,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15 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:rsidR="00A60522" w:rsidRPr="0073509E" w:rsidRDefault="00A60522" w:rsidP="004C41E3">
            <w:pPr>
              <w:snapToGrid w:val="0"/>
              <w:jc w:val="center"/>
            </w:pPr>
            <w:r w:rsidRPr="0073509E">
              <w:t>2..13.7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Кейс для транспортировки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136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  <w:rPr>
                <w:b/>
                <w:bCs/>
              </w:rPr>
            </w:pPr>
            <w:r w:rsidRPr="0073509E">
              <w:rPr>
                <w:b/>
                <w:bCs/>
              </w:rPr>
              <w:t>3. Условия поставки</w:t>
            </w:r>
          </w:p>
        </w:tc>
      </w:tr>
      <w:tr w:rsidR="00A60522" w:rsidRPr="0073509E" w:rsidTr="004C41E3"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3.1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Гарантийный срок (с момента ввода в эксплуатацию), не менее</w:t>
            </w:r>
            <w:r w:rsidRPr="0073509E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 </w:t>
            </w:r>
          </w:p>
        </w:tc>
      </w:tr>
      <w:tr w:rsidR="00A60522" w:rsidRPr="0073509E" w:rsidTr="004C41E3"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3.2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Ввод в эксплуатацию поставляемого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267"/>
        </w:trPr>
        <w:tc>
          <w:tcPr>
            <w:tcW w:w="993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3.3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Обучение </w:t>
            </w:r>
            <w:r w:rsidRPr="0073509E">
              <w:t>медицинского персонала пользованию оборудованием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оптимально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 </w:t>
            </w:r>
          </w:p>
        </w:tc>
      </w:tr>
      <w:tr w:rsidR="00A60522" w:rsidRPr="0073509E" w:rsidTr="004C41E3">
        <w:trPr>
          <w:trHeight w:val="308"/>
        </w:trPr>
        <w:tc>
          <w:tcPr>
            <w:tcW w:w="993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3.4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Инструкция (руководство) по эксплуатации на русском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129"/>
        </w:trPr>
        <w:tc>
          <w:tcPr>
            <w:tcW w:w="993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3.5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Сервисный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522" w:rsidRPr="0073509E" w:rsidRDefault="00A60522" w:rsidP="004C41E3">
            <w:r w:rsidRPr="0073509E">
              <w:t> </w:t>
            </w:r>
          </w:p>
        </w:tc>
      </w:tr>
      <w:tr w:rsidR="00A60522" w:rsidRPr="0073509E" w:rsidTr="004C41E3">
        <w:trPr>
          <w:trHeight w:val="386"/>
        </w:trPr>
        <w:tc>
          <w:tcPr>
            <w:tcW w:w="993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3.6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ind w:right="-157"/>
              <w:rPr>
                <w:color w:val="000000"/>
              </w:rPr>
            </w:pPr>
            <w:r w:rsidRPr="0073509E">
              <w:rPr>
                <w:color w:val="000000"/>
              </w:rPr>
              <w:t xml:space="preserve">Гарантийное техническое обслуживание всего оборудования (включая реагирование на заявки </w:t>
            </w:r>
            <w:r w:rsidRPr="0073509E">
              <w:rPr>
                <w:color w:val="000000"/>
              </w:rPr>
              <w:lastRenderedPageBreak/>
              <w:t>персонала о неисправностях в работе оборудования)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lastRenderedPageBreak/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386"/>
        </w:trPr>
        <w:tc>
          <w:tcPr>
            <w:tcW w:w="993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lastRenderedPageBreak/>
              <w:t>3.7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0522" w:rsidRPr="0073509E" w:rsidRDefault="00A60522" w:rsidP="004C41E3"/>
        </w:tc>
      </w:tr>
      <w:tr w:rsidR="00A60522" w:rsidRPr="0073509E" w:rsidTr="004C41E3">
        <w:trPr>
          <w:trHeight w:val="386"/>
        </w:trPr>
        <w:tc>
          <w:tcPr>
            <w:tcW w:w="993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3.8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22" w:rsidRPr="0073509E" w:rsidRDefault="00A60522" w:rsidP="004C41E3">
            <w:pPr>
              <w:jc w:val="center"/>
            </w:pPr>
            <w:r w:rsidRPr="0073509E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0522" w:rsidRPr="0073509E" w:rsidRDefault="00A60522" w:rsidP="004C41E3">
            <w:pPr>
              <w:ind w:right="-66"/>
              <w:jc w:val="center"/>
            </w:pPr>
            <w:r w:rsidRPr="0073509E">
              <w:t>обязательно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0522" w:rsidRPr="0073509E" w:rsidRDefault="00A60522" w:rsidP="004C41E3"/>
        </w:tc>
      </w:tr>
    </w:tbl>
    <w:p w:rsidR="00A60522" w:rsidRPr="0073509E" w:rsidRDefault="00A60522" w:rsidP="00A60522">
      <w:pPr>
        <w:ind w:firstLine="709"/>
        <w:jc w:val="both"/>
        <w:rPr>
          <w:b/>
        </w:rPr>
      </w:pPr>
      <w:r w:rsidRPr="0073509E">
        <w:rPr>
          <w:color w:val="000000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</w:r>
      <w:r w:rsidRPr="0073509E">
        <w:rPr>
          <w:color w:val="000000"/>
        </w:rPr>
        <w:br/>
        <w:t xml:space="preserve">        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  <w:r w:rsidRPr="0073509E">
        <w:rPr>
          <w:color w:val="000000"/>
        </w:rPr>
        <w:br/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sectPr w:rsidR="00A60522" w:rsidRPr="0073509E" w:rsidSect="00CB5E37">
      <w:headerReference w:type="default" r:id="rId8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84" w:rsidRDefault="001C7284" w:rsidP="00597E70">
      <w:r>
        <w:separator/>
      </w:r>
    </w:p>
  </w:endnote>
  <w:endnote w:type="continuationSeparator" w:id="1">
    <w:p w:rsidR="001C7284" w:rsidRDefault="001C7284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84" w:rsidRDefault="001C7284" w:rsidP="00597E70">
      <w:r>
        <w:separator/>
      </w:r>
    </w:p>
  </w:footnote>
  <w:footnote w:type="continuationSeparator" w:id="1">
    <w:p w:rsidR="001C7284" w:rsidRDefault="001C7284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FE6461">
        <w:pPr>
          <w:pStyle w:val="af0"/>
          <w:jc w:val="right"/>
        </w:pPr>
        <w:fldSimple w:instr=" PAGE   \* MERGEFORMAT ">
          <w:r w:rsidR="00082A7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36E6"/>
    <w:rsid w:val="00082A77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C7284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2020-04-29T11:23:00Z</dcterms:modified>
</cp:coreProperties>
</file>