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2D64CA" w:rsidRDefault="009052AA" w:rsidP="00EC1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5563B" w:rsidRPr="007556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75563B" w:rsidRPr="007556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876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769F0" w:rsidRPr="002D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D64CA" w:rsidRPr="002D6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D64CA" w:rsidRPr="00535568" w:rsidRDefault="002D64CA" w:rsidP="002D6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" o:spid="_x0000_s1036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37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8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039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5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4E665D" w:rsidRDefault="002D64CA" w:rsidP="002D64CA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питательных </w:t>
      </w:r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 xml:space="preserve">сред, </w:t>
      </w:r>
      <w:proofErr w:type="spellStart"/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диагностикумов</w:t>
      </w:r>
      <w:proofErr w:type="spellEnd"/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, химреактиво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в и вспомогательных материалов, </w:t>
      </w:r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необходимых для обеспечени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я санитарно-эпидемиологического </w:t>
      </w:r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благополучия и бесперебойного фун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кционирования центров гигиены и </w:t>
      </w:r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эпидемиологии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35568">
        <w:rPr>
          <w:rFonts w:ascii="Times New Roman" w:hAnsi="Times New Roman" w:cs="Times New Roman"/>
          <w:b/>
          <w:spacing w:val="4"/>
          <w:sz w:val="24"/>
          <w:szCs w:val="24"/>
        </w:rPr>
        <w:t>в 2019 году</w:t>
      </w:r>
    </w:p>
    <w:p w:rsidR="009052AA" w:rsidRDefault="009052AA" w:rsidP="00EC1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EC124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4E665D">
        <w:rPr>
          <w:rFonts w:ascii="Times New Roman" w:hAnsi="Times New Roman" w:cs="Times New Roman"/>
          <w:sz w:val="24"/>
          <w:szCs w:val="24"/>
        </w:rPr>
        <w:t>0</w:t>
      </w:r>
      <w:r w:rsidR="002D64CA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4E665D">
        <w:rPr>
          <w:rFonts w:ascii="Times New Roman" w:hAnsi="Times New Roman" w:cs="Times New Roman"/>
          <w:sz w:val="24"/>
          <w:szCs w:val="24"/>
        </w:rPr>
        <w:t>октября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02A" w:rsidRDefault="00CB102A" w:rsidP="00EC124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9F0" w:rsidRPr="000B0FA2" w:rsidRDefault="008769F0" w:rsidP="008769F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769F0" w:rsidRPr="008901DE" w:rsidRDefault="008769F0" w:rsidP="008769F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CA" w:rsidRPr="00535568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535568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535568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535568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 (</w:t>
      </w:r>
      <w:proofErr w:type="gramStart"/>
      <w:r w:rsidRPr="00535568">
        <w:rPr>
          <w:rFonts w:ascii="Times New Roman" w:hAnsi="Times New Roman" w:cs="Times New Roman"/>
          <w:spacing w:val="4"/>
          <w:sz w:val="24"/>
          <w:szCs w:val="26"/>
        </w:rPr>
        <w:t>см</w:t>
      </w:r>
      <w:proofErr w:type="gramEnd"/>
      <w:r w:rsidRPr="00535568">
        <w:rPr>
          <w:rFonts w:ascii="Times New Roman" w:hAnsi="Times New Roman" w:cs="Times New Roman"/>
          <w:spacing w:val="4"/>
          <w:sz w:val="24"/>
          <w:szCs w:val="26"/>
        </w:rPr>
        <w:t>. Приложение №1).</w:t>
      </w:r>
    </w:p>
    <w:p w:rsidR="00CB102A" w:rsidRPr="005B7156" w:rsidRDefault="00CB102A" w:rsidP="00EC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CA" w:rsidRPr="00535568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535568">
        <w:rPr>
          <w:rFonts w:ascii="Times New Roman" w:hAnsi="Times New Roman" w:cs="Times New Roman"/>
          <w:sz w:val="24"/>
          <w:szCs w:val="26"/>
        </w:rPr>
        <w:t xml:space="preserve">от 22 августа 2019 года №152 (6325))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535568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535568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535568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535568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2D64CA" w:rsidRPr="00535568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64CA" w:rsidRPr="00535568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535568">
        <w:rPr>
          <w:rFonts w:ascii="Times New Roman" w:hAnsi="Times New Roman" w:cs="Times New Roman"/>
          <w:sz w:val="24"/>
          <w:szCs w:val="24"/>
        </w:rPr>
        <w:t xml:space="preserve">16:00 часов 09 августа 2019 года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2D64CA" w:rsidRPr="00535568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5 коммерческих предложений от следующих хозяйствующих субъектов: ООО «Валеандр», ООО «Тезаурус», ООО «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102A" w:rsidRPr="00EC1246" w:rsidRDefault="00CB102A" w:rsidP="00EC124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769F0" w:rsidRPr="000B0FA2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 заключить договор с ООО 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 w:rsidRPr="00EF6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в Министерстве финансов ПМР в течение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«Поставщик» – ООО 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М.И.;</w:t>
      </w:r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, химреактивов и вспомогательных материалов, необходимых для обеспечения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lastRenderedPageBreak/>
        <w:t>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2410"/>
        <w:gridCol w:w="851"/>
        <w:gridCol w:w="992"/>
      </w:tblGrid>
      <w:tr w:rsidR="002D64CA" w:rsidRPr="00FC1841" w:rsidTr="002D64CA">
        <w:trPr>
          <w:trHeight w:val="317"/>
          <w:tblHeader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91" w:right="-17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D64CA" w:rsidRPr="00FC1841" w:rsidRDefault="002D64CA" w:rsidP="002D64CA">
            <w:pPr>
              <w:spacing w:after="0" w:line="240" w:lineRule="auto"/>
              <w:ind w:left="-291" w:right="-17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tabs>
                <w:tab w:val="left" w:pos="9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№1 ГРМ (</w:t>
            </w: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 кг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</w:tr>
      <w:tr w:rsidR="002D64CA" w:rsidRPr="00FC1841" w:rsidTr="002D64CA">
        <w:trPr>
          <w:trHeight w:val="26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сальмонелл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Плоскирева-ГРМ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D64CA" w:rsidRPr="00FC1841" w:rsidTr="002D64CA">
        <w:trPr>
          <w:trHeight w:val="86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 11 ГРМ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 13 ГРМ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</w:tr>
      <w:tr w:rsidR="002D64CA" w:rsidRPr="00FC1841" w:rsidTr="002D64CA">
        <w:trPr>
          <w:trHeight w:val="14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 14 ГРМ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 15 ГРМ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2D64CA" w:rsidRPr="00FC1841" w:rsidTr="002D64CA">
        <w:trPr>
          <w:trHeight w:val="18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№2 ГРМ (САБУРО)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№ 3 ГРМ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D64CA" w:rsidRPr="00FC1841" w:rsidTr="002D64CA">
        <w:trPr>
          <w:trHeight w:val="9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Питательный бульон для накопления сальмонелл по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Раппапорту-Вассилидису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сухой (RVS-бульон)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сальмонелл 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SS-агар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D64CA" w:rsidRPr="00FC1841" w:rsidTr="002D64CA">
        <w:trPr>
          <w:trHeight w:val="15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бактериологический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64CA" w:rsidRPr="00FC1841" w:rsidTr="002D64CA">
        <w:trPr>
          <w:trHeight w:val="259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(Ацетатный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культивирования и выделения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Бифидум-среда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2D64CA" w:rsidRPr="00FC1841" w:rsidTr="002D64CA">
        <w:trPr>
          <w:trHeight w:val="28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Питатательная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среда для выявления и подсчета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сульфитредицирующих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бактерий, растущих в анаэробных условиях (ЖСС-1, модификация 1(аналог среды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Вильсон-Блера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228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выделения сальмонелл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Висмут-сульфит-ГРМ-агар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D64CA" w:rsidRPr="00FC1841" w:rsidTr="002D64CA">
        <w:trPr>
          <w:trHeight w:val="32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глюкозой)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14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лактозой)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D64CA" w:rsidRPr="00FC1841" w:rsidTr="002D64CA">
        <w:trPr>
          <w:trHeight w:val="22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мальтозой)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2D64CA" w:rsidRPr="00FC1841" w:rsidTr="002D64CA">
        <w:trPr>
          <w:trHeight w:val="32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манитом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134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маннозой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2D64CA" w:rsidRPr="00FC1841" w:rsidTr="002D64CA">
        <w:trPr>
          <w:trHeight w:val="99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сахарозой)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D64CA" w:rsidRPr="00FC1841" w:rsidTr="002D64CA">
        <w:trPr>
          <w:trHeight w:val="19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Эндо-ГРМ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D64CA" w:rsidRPr="00FC1841" w:rsidTr="002D64CA">
        <w:trPr>
          <w:trHeight w:val="15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Питательный бульон для культивирования микроорганизмов сухой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ГРМ-бульон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2D64CA" w:rsidRPr="00FC1841" w:rsidTr="002D64CA">
        <w:trPr>
          <w:trHeight w:val="10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культивирования микроорганизмов сухой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ГРМ-агар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2D64CA" w:rsidRPr="00FC1841" w:rsidTr="002D64CA">
        <w:trPr>
          <w:trHeight w:val="18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выделения листерий (ПАЛ среда)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14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коринебактерий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тесту расщепления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цистина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(среда Пизу)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возбудителей кишечного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псевдотуберкулеза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Иерсиния-агар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культивирования  выделения коклюшного микроба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Бордетелагар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31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обнаружения бактерий группы кишечного палочки сухая (среда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Кесслера-ГРМ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Клиглера-ГРМ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коринебактерий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Коринебакагар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определения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токсигенности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дифтерийных микробов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Коринетоксагар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и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дифференциации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патогенных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XLD-агар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2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и культивирования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лактобацилл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Лактобакагар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егионелл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Легионелбакагар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накопления сальмонелл сухая (Магниевая среда)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Пептон основной сухой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Пептон ферментативный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накопления сальмонелл сухая, (Селенитовый бульон)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2D64CA" w:rsidRPr="00FC1841" w:rsidTr="002D64CA">
        <w:trPr>
          <w:trHeight w:val="16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определения чувствительности микроорганизмов к антибактериальным препаратам сухая (АГВ)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выделения стафилококков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Стафилококкагар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контроля стерильности сухая (Тиогликолевая среда)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и культивирования холерного вибриона сухая (Щелочной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выделения энтерококков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Энтерококкагар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2D64CA" w:rsidRPr="00FC1841" w:rsidTr="002D64CA">
        <w:trPr>
          <w:trHeight w:val="132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выделения и культивирования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(Эритрит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Питательный бульон для выделения листерий (ПБЛ)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314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Питательная среда для первичной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железо-глюкозо-лактозный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мочевиной) (за 1 кг)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ФБУН «ГНЦ ПМБ»,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D64CA" w:rsidRPr="00FC1841" w:rsidTr="002D64CA">
        <w:trPr>
          <w:trHeight w:val="14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Амоксиклавом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аугментин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D64CA" w:rsidRPr="00FC1841" w:rsidTr="002D64CA">
        <w:trPr>
          <w:trHeight w:val="20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Бацитрацином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(10мг/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флакон/100дисков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Бацитрацином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(0,04мг/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4CA" w:rsidRPr="00FC1841" w:rsidTr="002D64CA">
        <w:trPr>
          <w:trHeight w:val="109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D64CA" w:rsidRPr="00FC1841" w:rsidTr="002D64CA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D64CA" w:rsidRPr="00FC1841" w:rsidTr="002D64CA">
        <w:trPr>
          <w:trHeight w:val="15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Кетоконазолом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D64CA" w:rsidRPr="00FC1841" w:rsidTr="002D64CA">
        <w:trPr>
          <w:trHeight w:val="31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"Аспект",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D64CA" w:rsidRPr="00FC1841" w:rsidTr="002D64CA">
        <w:trPr>
          <w:trHeight w:val="25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Левомицетином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Меронемом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меропенем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Нетилмицином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Новобиоцином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5мкг №100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4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D64CA" w:rsidRPr="00FC1841" w:rsidTr="002D64CA">
        <w:trPr>
          <w:trHeight w:val="37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Оптахином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6мкг №100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флакон/100дисков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Пефлоксацином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Рокситромицином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Стрептомицином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Тикарацилином-клавулонат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75/10мкг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"НИЦФ",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0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Флюконазолом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40мкг №100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64CA" w:rsidRPr="00FC1841" w:rsidTr="002D64CA">
        <w:trPr>
          <w:trHeight w:val="35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200мкг 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Фурагином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D64CA" w:rsidRPr="00FC1841" w:rsidTr="002D64CA">
        <w:trPr>
          <w:trHeight w:val="12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D64CA" w:rsidRPr="00FC1841" w:rsidTr="002D64CA">
        <w:trPr>
          <w:trHeight w:val="21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Фуродонином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D64CA" w:rsidRPr="00FC1841" w:rsidTr="002D64CA">
        <w:trPr>
          <w:trHeight w:val="35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Цефалотином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D64CA" w:rsidRPr="00FC1841" w:rsidTr="002D64CA">
        <w:trPr>
          <w:trHeight w:val="172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Цефамандолом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D64CA" w:rsidRPr="00FC1841" w:rsidTr="002D64CA">
        <w:trPr>
          <w:trHeight w:val="13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Цефепимом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Цефокситином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НИИ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Пастера,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D64CA" w:rsidRPr="00FC1841" w:rsidTr="002D64CA">
        <w:trPr>
          <w:trHeight w:val="17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15мкг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"Аспект,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биологическая  ПБ2-16х150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2D64CA" w:rsidRPr="00FC1841" w:rsidTr="002D64CA">
        <w:trPr>
          <w:trHeight w:val="203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биологическая  ПБ2-14х120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</w:t>
            </w:r>
          </w:p>
        </w:tc>
      </w:tr>
      <w:tr w:rsidR="002D64CA" w:rsidRPr="00FC1841" w:rsidTr="002D64CA">
        <w:trPr>
          <w:trHeight w:val="10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3-100-2 (с дел.)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МиниМедпром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3-50-2 (с дел.)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МиниМедпром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 1-1000-2 (с носиком и стеклянным основанием)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МиниМедпром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Чашки Петри ЧБН стекло исп.2, 100х20мм, 3мм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Запорожстеклофлюс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Эксикатор 150мм (без крана)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АпексЛаб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 КН-1-250-29/32, с дел. ТС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АпексЛаб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Бюретка 1-3-2-25-0,1 без крана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АпексЛаб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Фильтровальная бумага 100*100см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Лальская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бум. Фабрика,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хирургические прямые 150мм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SURGICON LTD.,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пакистан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хирургический 145 мм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SURGICON LTD.,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пакистан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D64CA" w:rsidRPr="00FC1841" w:rsidTr="002D64CA">
        <w:trPr>
          <w:trHeight w:val="22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универсальные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термовременные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ИТПС-120, 120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 мин. (с журналом) № 1000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Випс-Мед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универсальные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термовременные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ИТПС-132, 132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 мин. (с журналом) № 1000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Випс-Мед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Индикаторы универсальные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термовременные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воздушной стерилизации ИТСВ-180, 180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60 мин. (с журналом) № 1000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Випс-Мед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воздушной стерилизации МедИС-В-160/150 № 1000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"НПФ "ВИНАР",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1,5мл,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/пробки, б/делений </w:t>
            </w: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Nuova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APTACA, Италия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Микробиологическая петля, 2мм, нихром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АпексЛаб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D64CA" w:rsidRPr="00FC1841" w:rsidTr="002D64CA">
        <w:trPr>
          <w:trHeight w:val="169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Микробиологическая петля, 5мм, нихром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АпексЛаб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D64CA" w:rsidRPr="00FC1841" w:rsidTr="002D64CA">
        <w:trPr>
          <w:trHeight w:val="20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вакуумная 6мл, с активатором свертывания, 13х100мм,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ПЭТФ  № 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Нинбо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Гритмед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Лтд., Китай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Индикаторная бумага диапазон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5-7 №100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ЭКРОСХИМ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 марлевый медицинский нестерильный упаковка/отрез 10м*0,9м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Фарм-Глобал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комплексный (1,2,3,4,6,7,8,9,10,12) жидкий (Тест комплексный РПГА), Набор № 1 - 6 мл </w:t>
            </w: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групповые жидкие С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(6,8), комплект № 2 (1 фл.-4,0 мл.) РПГА </w:t>
            </w: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опред.+3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групповые жидкие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(1,9,12), комплект № 2 (1 фл.-4,0 мл.) РПГА 10 опред.+3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групповые жидкие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(3,10), комплект № 2 (1 фл.-4,0 мл.) РПГА 10 опред.+3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групповые жидкие" В (1,4,12), комплект № 2 (1 фл.-4,0 мл.) РПГА 10 опред.+3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О-антигенные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групповые жидкие С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(6,7), комплект № 2 (1 фл.-4,0 мл.) РПГА 10 опред.+3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"НПП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ДиаВита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риккетсиозный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Провачека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сухой для РА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7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коклюшный жидкий для РА 5мл №10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7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паракоклюшный жидкий для РА 5мл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№10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им.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туляремийный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идкий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12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ОКСИ-тест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полоски,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итохромоксидазы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бактерий), 50опр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ERBA LACHEMA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s.r.o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АГНОЛЛА®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для РА,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Зонне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Фазы I-II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(8)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 кроличья сухая, 1 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лошадиная нормальная (100мл)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D64CA" w:rsidRPr="00FC1841" w:rsidTr="002D64CA">
        <w:trPr>
          <w:trHeight w:val="303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(ABCDE поливал.)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D64CA" w:rsidRPr="00FC1841" w:rsidTr="002D64CA">
        <w:trPr>
          <w:trHeight w:val="15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(редких групп)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592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D64CA" w:rsidRPr="00FC1841" w:rsidTr="002D64CA">
        <w:trPr>
          <w:trHeight w:val="19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32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2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358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35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9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0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0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2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lv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2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(1,2)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3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(1,5)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7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(9)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(4)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4CA" w:rsidRPr="00FC1841" w:rsidTr="002D64CA">
        <w:trPr>
          <w:trHeight w:val="253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(12)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263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H-типовая,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14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О-типовая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(3,10)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ПЕТСАЛ® 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сухая для РА, H-типовая,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2мл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30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агглютирующая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ОКА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агглютирующая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ОКВ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агглютирующая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ОКС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агглютирующая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ОКД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332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агглютирующая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ОКЕ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343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(О2)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9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(О4)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(О6)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358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(О7)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24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(О8)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0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(О9)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0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(О11)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2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(О14)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26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(О18)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3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сухие для РА (О20)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 (О25)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15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(О26)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(О33)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1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(О44)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2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(О55)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28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(О75)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(О86)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(О111)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(О114)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(О119)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(О125)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(О126)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(О128)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(О142)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(О143)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 и факторная адсорбированные сухие для РА (О144) 1мл №10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 диагностический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ОК сухой для РА (О151)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сухая для РА (408)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им. И.М.Мечникова,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0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диагностическая холерная не О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О139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ФКУЗ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РосНИПЧИ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"Микроб",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диагностическая холерная ОГАВА 1мл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ФКУЗ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РосНИПЧИ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"Микроб",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II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III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VI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V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типовой VI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групповой (3,4)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11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групповой (6)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17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групповой (7,8)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9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I-V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13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адсорбированная агглютинирующая сухая РА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Агнолла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поливалентная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I-VI 2мл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СПбНИИВС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ФМБА РФ",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Экстракт кормовых дрожжей для микробиологических питательных сред (ЭКД)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«НПО»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медь/1,00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2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свинец/1,00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кадмий/1,00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цинк/1,00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гамма-ГХЦГ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линдан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D64CA" w:rsidRPr="00FC1841" w:rsidTr="002D64CA">
        <w:trPr>
          <w:trHeight w:val="10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ДДТ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D64CA" w:rsidRPr="00FC1841" w:rsidTr="002D64CA">
        <w:trPr>
          <w:trHeight w:val="13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никель/1,00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нитрат-ион/1,00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мышьяк/0,10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марганец (II)/1,00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ГСО фенол/1,00 (в этаноле)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КТБ ФХИ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огатского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Несслера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0,1Н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Уралхиминвест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 37%, субстанция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Инновация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Иммерсионое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масло 100 мл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D64CA" w:rsidRPr="00FC1841" w:rsidTr="002D64CA">
        <w:trPr>
          <w:trHeight w:val="25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фосфорнокислый 1-зам. 2-х вод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фосфорнокислый 2-зам. 12-вод.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хлористый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хч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кристаллический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Калий йодистый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РМ Инжиниринг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покупателю осуществляется в полном объеме, согласно спецификации к договору, в срок не позднее 50 календарных дней после поступления предоплаты на расчетный счет Поставщика, с передачей всей необходимой на товар документы. Возможна поставка товара партиями, поквартально согласно заявкам получателя товара, если данное условие является существенным для заключения договора. Товар поставляется Покупателю за счет Поставщика.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2D64CA" w:rsidRPr="00FC1841" w:rsidRDefault="002D64CA" w:rsidP="002D64CA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в размере 25% от общей суммы договора на расчет счет Поставщика. Окончательный расчет по факту поставки товара в полном объеме</w:t>
      </w:r>
      <w:r w:rsidRPr="00FC1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остается фиксированной на протяжении действия договора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2D64CA" w:rsidRPr="00A55372" w:rsidRDefault="002D64CA" w:rsidP="002D64CA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64CA" w:rsidRPr="00A55372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64CA" w:rsidRPr="00FC1841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 заключить договор с ООО 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6D9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EF66D9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EF66D9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</w:t>
      </w:r>
      <w:r w:rsidRPr="00EF66D9">
        <w:rPr>
          <w:rFonts w:ascii="Times New Roman" w:hAnsi="Times New Roman" w:cs="Times New Roman"/>
          <w:spacing w:val="4"/>
          <w:sz w:val="24"/>
          <w:szCs w:val="26"/>
        </w:rPr>
        <w:lastRenderedPageBreak/>
        <w:t>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«Поставщик» – ООО «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Н.П.;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1985"/>
        <w:gridCol w:w="850"/>
        <w:gridCol w:w="1418"/>
      </w:tblGrid>
      <w:tr w:rsidR="002D64CA" w:rsidRPr="00FC1841" w:rsidTr="002D64CA">
        <w:trPr>
          <w:trHeight w:val="85"/>
          <w:tblHeader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№8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2,25 кг (9 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16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арабинозой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 кг (5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дульцитом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 кг (5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инозитом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кг (6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ксилозой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 кг (5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Гисса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рамнозой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кг (6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99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Кларка среда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фосфатный бульон) (Питательная среда для родовой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 "Питательные среды", Махачкала,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кг (8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Менингоагар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i-Media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кг (6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18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Сабуро-Бульон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 кг (14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Фенилаланин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1,75 кг (7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25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среда (за 0,25 кг)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Биотехновация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0,25 кг (1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азлоциллином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мкг №100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171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азтреонамом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мкг №100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 мкг №100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с желчью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дезоксихолатом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натрий 3 мкг для идентификации пневмококков) №100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итраконазолом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мкг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сульфометоксазолом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1,25/23,75 мкг №100/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мкг № 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 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300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4CA" w:rsidRPr="00FC1841" w:rsidTr="002D64CA">
        <w:trPr>
          <w:trHeight w:val="127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сапонином для идентификации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палочки №100  750 МКГ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тикарциллином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мкг № 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цефаклором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мкг №100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НИЦФ, Российская Федерация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D64CA" w:rsidRPr="00FC1841" w:rsidTr="002D64CA">
        <w:trPr>
          <w:trHeight w:val="8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мутности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МакФарланда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R092R-1NOHiMedia Пробирки (для тестирования) (Набор стандартов мутности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МакФарланда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(Каждый набор содержит по 1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McFarland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0.5, 1, 2,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и 4) (ФСЗ 2009/03610)  п.8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i-Media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DDP Тирасполь, ПМР согласно условиям ИНКОТЕРМС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Срок поставки после оплаты аванса (предоплаты) составляет до 60-ти календарных дней.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2D64CA" w:rsidRPr="00FC1841" w:rsidRDefault="002D64CA" w:rsidP="002D64CA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25% от суммы договора, оплата оставшиеся суммы - в размере 75% в течение 30 дней после поставки товара</w:t>
      </w:r>
      <w:r w:rsidRPr="00FC1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ора;</w:t>
      </w:r>
    </w:p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2D64CA" w:rsidRPr="00A55372" w:rsidRDefault="002D64CA" w:rsidP="002D64CA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64CA" w:rsidRDefault="002D64CA" w:rsidP="002D64CA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64CA" w:rsidRPr="00A55372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«Тезаурус».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«Республиканский центр гигиены и эпидемиологии» заключить договор с ООО «Тезаурус»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«Поставщик» – ООО «Тезаурус» в лице директора –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А.С.;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2977"/>
        <w:gridCol w:w="851"/>
        <w:gridCol w:w="992"/>
      </w:tblGrid>
      <w:tr w:rsidR="002D64CA" w:rsidRPr="00FC1841" w:rsidTr="002D64CA">
        <w:trPr>
          <w:trHeight w:val="119"/>
          <w:tblHeader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Пипетка для переноса жидкости (Пастера) 3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тер.,п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эт,инд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Гритмед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 100-1000 мкл универсальные, голубые (1000 шт.)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Yancheng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Huida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Imp.&amp; Exp.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Co.Ltd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", </w:t>
            </w: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1452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ЛаймБест-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1454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ЛаймБест-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1652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Ротавирус-антиген-ИФА-БЕСТ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2602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ВектоПаротит-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2552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Векто-Рубелла-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8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Векто-Корь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"Вектор-Бест", Россия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250" w:right="17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полном объеме, согласно спецификации к договору CIP, в течение 60 рабочих дней с момента поступления предоплаты на расчетный счет Продавца.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2D64CA" w:rsidRPr="00FC1841" w:rsidRDefault="002D64CA" w:rsidP="002D64CA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Оплата производится путем перечисления денежных средств на расчетный счет продавца в размере 25%.Полный расчет производится в течение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получения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FC1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остается фиксированной на протяжении действия договора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FC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FC1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2D64CA" w:rsidRPr="00A55372" w:rsidRDefault="002D64CA" w:rsidP="002D64CA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64CA" w:rsidRPr="00A55372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64CA" w:rsidRPr="00FC1841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«Валеандр».</w:t>
      </w:r>
    </w:p>
    <w:p w:rsidR="002D64CA" w:rsidRPr="00FC1841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центр гигиены и эпидемиологии» заключить договор с ООО «</w:t>
      </w:r>
      <w:r w:rsidR="00383368"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 w:rsidRPr="00EF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383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2D64CA" w:rsidRPr="00EF66D9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proofErr w:type="gram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центр гигиены и эпидемиологии» в лице главного врача </w:t>
      </w:r>
      <w:proofErr w:type="spellStart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</w:t>
      </w:r>
      <w:proofErr w:type="spellEnd"/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«Поставщик» – ООО «Валеандр»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 w:rsidRPr="00EF66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А.Р.;</w:t>
      </w:r>
      <w:proofErr w:type="gramEnd"/>
    </w:p>
    <w:p w:rsidR="002D64CA" w:rsidRPr="00FC1841" w:rsidRDefault="002D64CA" w:rsidP="002D64C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C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  <w:r w:rsidRPr="00FC1841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2127"/>
        <w:gridCol w:w="850"/>
        <w:gridCol w:w="1276"/>
      </w:tblGrid>
      <w:tr w:rsidR="002D64CA" w:rsidRPr="003B11F1" w:rsidTr="002D64CA">
        <w:trPr>
          <w:trHeight w:val="159"/>
          <w:tblHeader/>
        </w:trPr>
        <w:tc>
          <w:tcPr>
            <w:tcW w:w="426" w:type="dxa"/>
            <w:shd w:val="clear" w:color="000000" w:fill="FFFFFF"/>
            <w:vAlign w:val="center"/>
            <w:hideMark/>
          </w:tcPr>
          <w:p w:rsidR="002D64CA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5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D64CA" w:rsidRPr="003B11F1" w:rsidTr="002D64CA">
        <w:trPr>
          <w:trHeight w:val="242"/>
        </w:trPr>
        <w:tc>
          <w:tcPr>
            <w:tcW w:w="426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микроцентрифужная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 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дел.с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завинч.крышкой,п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Гритмед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3B11F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едкий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Stanchem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Бельгия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3B11F1" w:rsidTr="002D64CA">
        <w:trPr>
          <w:trHeight w:val="8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едкий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Stanchem</w:t>
            </w:r>
            <w:proofErr w:type="spellEnd"/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Бельгия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ind w:left="-108" w:right="-1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4CA" w:rsidRPr="003B11F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64CA" w:rsidRPr="009C6B5E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</w:t>
      </w:r>
    </w:p>
    <w:p w:rsidR="002D64CA" w:rsidRPr="009C6B5E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2D64CA" w:rsidRPr="009C6B5E" w:rsidRDefault="002D64CA" w:rsidP="002D64CA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2D64CA" w:rsidRPr="009C6B5E" w:rsidRDefault="002D64CA" w:rsidP="002D64CA">
      <w:pPr>
        <w:tabs>
          <w:tab w:val="left" w:pos="1134"/>
        </w:tabs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25% от общей суммы стоимости договора. Оставшаяся часть суммы 75 % оплачивается в течение следующих 30 календарных дней после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товара на склад покупателя</w:t>
      </w:r>
      <w:r w:rsidRPr="009C6B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4CA" w:rsidRPr="009C6B5E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C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9C6B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9C6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9C6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2D64CA" w:rsidRPr="00A55372" w:rsidRDefault="002D64CA" w:rsidP="002D64CA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64CA" w:rsidRPr="00A55372" w:rsidRDefault="002D64CA" w:rsidP="002D6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372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4CA" w:rsidRPr="00755E93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5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Ввиду наличия одного коммерческого предложения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 по позициям</w:t>
      </w:r>
      <w:r>
        <w:rPr>
          <w:rFonts w:ascii="Times New Roman" w:hAnsi="Times New Roman" w:cs="Times New Roman"/>
          <w:spacing w:val="4"/>
          <w:sz w:val="24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134"/>
        <w:gridCol w:w="851"/>
      </w:tblGrid>
      <w:tr w:rsidR="002D64CA" w:rsidRPr="00FC1841" w:rsidTr="002D64CA">
        <w:trPr>
          <w:trHeight w:val="7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6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2D64CA" w:rsidRPr="00FC1841" w:rsidTr="002D64CA">
        <w:trPr>
          <w:trHeight w:val="183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Питательная 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Маланат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8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Питательная среда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Маланат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Триметопримом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Петля бактериологическая металлическая  с держателем длиной 250 мм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Мембрана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Владипор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МФА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 -1 стерильная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Pore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0,45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Micron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Диамертр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диска 47mm)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индикаторы ИПС-121/15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индикаторы ИПС-121/20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кишечноиерсиниозный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кишечноиерсиниозный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БЕРЛЕЗ®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псевдотуберкулезный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РНГА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РЕПЛАН®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Зонне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РЕПЛАН®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коклюшный жидкий для РА 5мл №10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дифтерийный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жидкий (набор №1)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ДС-ДИФ-КОРИНЕ (диски с антитоксином)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токсигенность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(40анализов)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Бактериофаги диагностические холерные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классический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эльтор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1мл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ртуть 1,0 мг/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2,4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мутности (по каолину)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цветности 500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хром-кобальтовой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шкале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жесткость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хром (VI)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железо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ион-аммония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нитрит-ион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формальдегид 1,0 мг/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сульфаты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АфлатоксинВ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АфлатоксинМ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Вомитоксин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1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нитрозамины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Зеараленон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Аммоний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молибденовокислый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Барий хлористый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Диэтиловый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эфир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натрий виннокислый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Кислота лимонная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лимоннокислый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Грисса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2D64CA" w:rsidRPr="00FC1841" w:rsidTr="002D64CA">
        <w:trPr>
          <w:trHeight w:val="11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соляная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Хлороформ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Этилацетат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теллурит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2 % в упаковке -10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фосфорнокислый 1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фосфорнокислый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двухзамещенный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3-х водный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2D64CA" w:rsidRPr="00FC1841" w:rsidTr="002D64CA">
        <w:trPr>
          <w:trHeight w:val="1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Крахмал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водорастворимый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Крахмал растворимый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.д.а. фас. 100г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Метиленовый синий,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инд.ч.д.а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50г во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 (карбамид).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Сахароза х.ч.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D64CA" w:rsidRPr="00FC1841" w:rsidTr="002D64CA">
        <w:trPr>
          <w:trHeight w:val="1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сыворотка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Хлороформ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Реактивы для окраски по Грамму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рамноза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 металлический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Медь сернокислая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Квасцы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алюминокалиевые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1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сульфосалициловая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серная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соляная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Силикагнль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хлористый х.ч.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состава водного раствора карбоната иона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состава водного раствора иона никеля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Метиловый красный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Бромтимоловый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водный 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Алюмокалиевые квасцы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Аммоний хлористый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Кислота азотная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Кислота соляная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Кислота серная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ортофосфорная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Муравьиная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1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D64CA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4CA" w:rsidRPr="00755E93" w:rsidRDefault="002D64CA" w:rsidP="002D64C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5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5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Ввиду отсутствия коммерческих предложения </w:t>
      </w:r>
      <w:r w:rsidRPr="00FC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FC1841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Pr="00FC1841">
        <w:rPr>
          <w:rFonts w:ascii="Times New Roman" w:hAnsi="Times New Roman" w:cs="Times New Roman"/>
          <w:spacing w:val="4"/>
          <w:sz w:val="24"/>
          <w:szCs w:val="26"/>
        </w:rPr>
        <w:t>диагностикумов</w:t>
      </w:r>
      <w:proofErr w:type="spellEnd"/>
      <w:r w:rsidRPr="00FC1841">
        <w:rPr>
          <w:rFonts w:ascii="Times New Roman" w:hAnsi="Times New Roman" w:cs="Times New Roman"/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 по позициям</w:t>
      </w:r>
      <w:r>
        <w:rPr>
          <w:rFonts w:ascii="Times New Roman" w:hAnsi="Times New Roman" w:cs="Times New Roman"/>
          <w:spacing w:val="4"/>
          <w:sz w:val="24"/>
          <w:szCs w:val="26"/>
        </w:rPr>
        <w:t>:</w:t>
      </w:r>
    </w:p>
    <w:tbl>
      <w:tblPr>
        <w:tblW w:w="9356" w:type="dxa"/>
        <w:tblInd w:w="108" w:type="dxa"/>
        <w:tblLook w:val="04A0"/>
      </w:tblPr>
      <w:tblGrid>
        <w:gridCol w:w="567"/>
        <w:gridCol w:w="6804"/>
        <w:gridCol w:w="1134"/>
        <w:gridCol w:w="851"/>
      </w:tblGrid>
      <w:tr w:rsidR="002D64CA" w:rsidRPr="00FC1841" w:rsidTr="002D64CA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2D64CA" w:rsidRPr="00FC1841" w:rsidTr="002D64C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Метициллином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с О129/О129 DISCS - для дифференциации вибрионов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Полимиксином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25 мг 2500000ЕД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Диски с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Фурациллином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Поплавки “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Дархам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Бюретка V 250cм3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индикаторы ИПС-112/20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Мембранные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нитроцеллюлезные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№1, диаметр диска 47 мм)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Тест-система для иммуноферментного выявления антител на дифтерию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Тетра-пара-фенилендиамина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Сальмонеллезный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Дизентерийный фаг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бихроматная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окисляемость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трилона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водный раствор ионов магния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Натрия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пиросульфит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(Na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Т-2 токсин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ГСО гистамин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фосфомид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ГСО АПАВ (0,1 г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додецилсульфата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Цетилпиридиния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 1-водный (индикатор)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Нитрохромазо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(индикатор)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Ацетилацетон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Ализарин комплексон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Ализариновый желтый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 баллон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Аммоний азотнокислый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Аммоний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ванадиевокислый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Аммоний уксуснокислый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D64CA" w:rsidRPr="00FC1841" w:rsidTr="002D64CA">
        <w:trPr>
          <w:trHeight w:val="1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Аммоний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надсернокислый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Асбестовая сетка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Барий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Гидроксиламин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гидрохлорид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соль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хромотроповой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щавелевая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уксусная  ледяная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 хромовокислый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тетраборнокислый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карбонат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сульфид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сульфит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уксуснокислый кристаллический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углекислый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, N -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диметил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фенилендиамин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дигидрохлорид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нитроанилин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Альфа-нафтиламин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D64CA" w:rsidRPr="00FC1841" w:rsidTr="002D64CA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Свинец азотнокислый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серноватистокислый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магний 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калий марганцовокислый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щавелевая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трилон</w:t>
            </w:r>
            <w:proofErr w:type="spellEnd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комплексон 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Фиксанал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бихромат калия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 ФЕНИЛАНТРОНИЛОВАЯ КИСЛОТА (ИНДИКАТОР)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Трихлоруксусная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индикаторная   ацетон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индикаторная   углеводороды 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индикаторная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индикаторная   оксид углерода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силиконовая д-12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силиконовая д-7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 пористый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L- ОРНИТИН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моногидрохлорид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L-Аргинин 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2D64CA" w:rsidRPr="00FC1841" w:rsidTr="002D64CA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-Диметилnфенилдиамин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Твин-80 (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Фуксин кислый ч.д</w:t>
            </w:r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Фуксин основной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Реактив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мальтоза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Пластины "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Сорбфил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10x15 мм для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хромотографии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Перманганатная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окисляемость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Гидрокарбонат 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гидроокись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 хлористый 6 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Мора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Лантан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азотнокислотный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 окись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сернокислый безводный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марганцевокислый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Серебро сернокислое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Ртуть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двуйодистая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Ртуть роданистая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Плюмбон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Гвоякол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гвояколовая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 хлорное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 сернокислый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П-диметиламинобензалдегид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сернистокислый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Калий фосфорнокислый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двухзамещенный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Розоловая</w:t>
            </w:r>
            <w:proofErr w:type="spellEnd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Фенил-рот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Железо сернокислое </w:t>
            </w:r>
            <w:proofErr w:type="spellStart"/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Бензонафтол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64CA" w:rsidRPr="00FC1841" w:rsidTr="002D64CA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1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Метиловый спирт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A" w:rsidRPr="00FC1841" w:rsidRDefault="002D64CA" w:rsidP="002D64CA">
            <w:pPr>
              <w:spacing w:after="0" w:line="240" w:lineRule="auto"/>
              <w:ind w:left="-352" w:right="30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8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8769F0" w:rsidRDefault="008769F0" w:rsidP="008769F0">
      <w:pPr>
        <w:tabs>
          <w:tab w:val="left" w:pos="709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769F0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05" w:rsidRDefault="003B1605" w:rsidP="00C5716A">
      <w:pPr>
        <w:spacing w:after="0" w:line="240" w:lineRule="auto"/>
      </w:pPr>
      <w:r>
        <w:separator/>
      </w:r>
    </w:p>
  </w:endnote>
  <w:endnote w:type="continuationSeparator" w:id="0">
    <w:p w:rsidR="003B1605" w:rsidRDefault="003B1605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05" w:rsidRDefault="003B1605" w:rsidP="00C5716A">
      <w:pPr>
        <w:spacing w:after="0" w:line="240" w:lineRule="auto"/>
      </w:pPr>
      <w:r>
        <w:separator/>
      </w:r>
    </w:p>
  </w:footnote>
  <w:footnote w:type="continuationSeparator" w:id="0">
    <w:p w:rsidR="003B1605" w:rsidRDefault="003B1605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64CA" w:rsidRDefault="002D64CA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383368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054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D64CA"/>
    <w:rsid w:val="002D7858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3368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605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215B"/>
    <w:rsid w:val="00433D8E"/>
    <w:rsid w:val="004347E3"/>
    <w:rsid w:val="00435BE9"/>
    <w:rsid w:val="0043707F"/>
    <w:rsid w:val="0044140D"/>
    <w:rsid w:val="00444654"/>
    <w:rsid w:val="004458A7"/>
    <w:rsid w:val="004470D3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C797B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665D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25E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4EF0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2D9B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2633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A0C27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5563B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69F0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28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0FD8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08F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102A"/>
    <w:rsid w:val="00CB4396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2EC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932"/>
    <w:rsid w:val="00E33A1E"/>
    <w:rsid w:val="00E344D6"/>
    <w:rsid w:val="00E35F75"/>
    <w:rsid w:val="00E36A9E"/>
    <w:rsid w:val="00E41992"/>
    <w:rsid w:val="00E43284"/>
    <w:rsid w:val="00E511B6"/>
    <w:rsid w:val="00E5145E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246"/>
    <w:rsid w:val="00EC1592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C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10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8769F0"/>
  </w:style>
  <w:style w:type="paragraph" w:customStyle="1" w:styleId="headertext">
    <w:name w:val="headertext"/>
    <w:basedOn w:val="a"/>
    <w:uiPriority w:val="99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D64CA"/>
    <w:rPr>
      <w:color w:val="800080"/>
      <w:u w:val="single"/>
    </w:rPr>
  </w:style>
  <w:style w:type="paragraph" w:customStyle="1" w:styleId="font5">
    <w:name w:val="font5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1">
    <w:name w:val="font11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2">
    <w:name w:val="font12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3">
    <w:name w:val="font13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4">
    <w:name w:val="font14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6">
    <w:name w:val="xl6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8">
    <w:name w:val="xl88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2">
    <w:name w:val="xl92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4">
    <w:name w:val="xl94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2D64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8">
    <w:name w:val="xl108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D6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D6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D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2D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2D64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D64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2D64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2D64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2D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2D64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2D64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D6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2D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83">
    <w:name w:val="xl18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5">
    <w:name w:val="xl18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6">
    <w:name w:val="xl18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7">
    <w:name w:val="xl18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8">
    <w:name w:val="xl18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3">
    <w:name w:val="xl193"/>
    <w:basedOn w:val="a"/>
    <w:rsid w:val="002D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4">
    <w:name w:val="xl19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6">
    <w:name w:val="xl196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8">
    <w:name w:val="xl198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2D64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2D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4">
    <w:name w:val="xl244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5">
    <w:name w:val="xl245"/>
    <w:basedOn w:val="a"/>
    <w:rsid w:val="002D64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2D64C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3">
    <w:name w:val="xl26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4">
    <w:name w:val="xl26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5">
    <w:name w:val="xl265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66">
    <w:name w:val="xl26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2D64C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2D64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2D64CA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2D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3">
    <w:name w:val="xl283"/>
    <w:basedOn w:val="a"/>
    <w:rsid w:val="002D64C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2D64C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6">
    <w:name w:val="xl286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7">
    <w:name w:val="xl287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1">
    <w:name w:val="xl291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2">
    <w:name w:val="xl292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3">
    <w:name w:val="xl293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4">
    <w:name w:val="xl29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5">
    <w:name w:val="xl295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6">
    <w:name w:val="xl296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7">
    <w:name w:val="xl29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2D64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a"/>
    <w:rsid w:val="002D64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2">
    <w:name w:val="xl302"/>
    <w:basedOn w:val="a"/>
    <w:rsid w:val="002D64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3">
    <w:name w:val="xl303"/>
    <w:basedOn w:val="a"/>
    <w:rsid w:val="002D64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2D64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2D64C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6">
    <w:name w:val="xl306"/>
    <w:basedOn w:val="a"/>
    <w:rsid w:val="002D6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7">
    <w:name w:val="xl307"/>
    <w:basedOn w:val="a"/>
    <w:rsid w:val="002D64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8">
    <w:name w:val="xl308"/>
    <w:basedOn w:val="a"/>
    <w:rsid w:val="002D64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9">
    <w:name w:val="xl309"/>
    <w:basedOn w:val="a"/>
    <w:rsid w:val="002D64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0">
    <w:name w:val="xl310"/>
    <w:basedOn w:val="a"/>
    <w:rsid w:val="002D64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a"/>
    <w:rsid w:val="002D64C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D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2D64C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2D64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2D64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2D64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8">
    <w:name w:val="xl318"/>
    <w:basedOn w:val="a"/>
    <w:rsid w:val="002D64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9">
    <w:name w:val="xl319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2D64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2D64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a"/>
    <w:rsid w:val="002D64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7">
    <w:name w:val="xl327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2D64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2D64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2D64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8">
    <w:name w:val="xl338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39">
    <w:name w:val="xl339"/>
    <w:basedOn w:val="a"/>
    <w:rsid w:val="002D64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0">
    <w:name w:val="xl340"/>
    <w:basedOn w:val="a"/>
    <w:rsid w:val="002D64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2D64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2D64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2D64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2D64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D64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2D64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2D64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2D64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2D64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2D64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2D64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2D64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2D64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0">
    <w:name w:val="xl360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1">
    <w:name w:val="xl361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2">
    <w:name w:val="xl362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63">
    <w:name w:val="xl363"/>
    <w:basedOn w:val="a"/>
    <w:rsid w:val="002D64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2D64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7">
    <w:name w:val="xl367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368">
    <w:name w:val="xl368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69">
    <w:name w:val="xl369"/>
    <w:basedOn w:val="a"/>
    <w:rsid w:val="002D64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0">
    <w:name w:val="xl370"/>
    <w:basedOn w:val="a"/>
    <w:rsid w:val="002D64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1">
    <w:name w:val="xl371"/>
    <w:basedOn w:val="a"/>
    <w:rsid w:val="002D64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2">
    <w:name w:val="xl372"/>
    <w:basedOn w:val="a"/>
    <w:rsid w:val="002D64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3">
    <w:name w:val="xl373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4">
    <w:name w:val="xl374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5">
    <w:name w:val="xl375"/>
    <w:basedOn w:val="a"/>
    <w:rsid w:val="002D6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6">
    <w:name w:val="xl376"/>
    <w:basedOn w:val="a"/>
    <w:rsid w:val="002D64C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7">
    <w:name w:val="xl377"/>
    <w:basedOn w:val="a"/>
    <w:rsid w:val="002D64C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78">
    <w:name w:val="xl378"/>
    <w:basedOn w:val="a"/>
    <w:rsid w:val="002D64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2D6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80">
    <w:name w:val="xl380"/>
    <w:basedOn w:val="a"/>
    <w:rsid w:val="002D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0F7B-C7B1-4FAB-8B44-E2961AF1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7148</Words>
  <Characters>40746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2019-08-28T12:35:00Z</cp:lastPrinted>
  <dcterms:created xsi:type="dcterms:W3CDTF">2019-11-06T08:14:00Z</dcterms:created>
  <dcterms:modified xsi:type="dcterms:W3CDTF">2019-11-06T08:33:00Z</dcterms:modified>
</cp:coreProperties>
</file>