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5" w:firstLine="567"/>
        <w:jc w:val="both"/>
        <w:rPr>
          <w:spacing w:val="4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17 сентября 2019 года) </w:t>
      </w:r>
      <w:r>
        <w:rPr>
          <w:spacing w:val="4"/>
          <w:sz w:val="26"/>
          <w:szCs w:val="26"/>
        </w:rPr>
        <w:t>по приобретению молочной продукции на 2019 год:</w:t>
      </w:r>
    </w:p>
    <w:tbl>
      <w:tblPr>
        <w:tblStyle w:val="7"/>
        <w:tblW w:w="9947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263"/>
        <w:gridCol w:w="841"/>
        <w:gridCol w:w="6"/>
        <w:gridCol w:w="7"/>
        <w:gridCol w:w="834"/>
        <w:gridCol w:w="580"/>
        <w:gridCol w:w="541"/>
        <w:gridCol w:w="30"/>
        <w:gridCol w:w="716"/>
        <w:gridCol w:w="694"/>
        <w:gridCol w:w="12"/>
        <w:gridCol w:w="856"/>
        <w:gridCol w:w="812"/>
        <w:gridCol w:w="38"/>
        <w:gridCol w:w="6"/>
        <w:gridCol w:w="1128"/>
        <w:gridCol w:w="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2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ЛПУ</w:t>
            </w:r>
          </w:p>
        </w:tc>
        <w:tc>
          <w:tcPr>
            <w:tcW w:w="7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продукции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58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Молоко (л)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Кефир (кг)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Сметана (кг)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Творог (кг)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сливочное (кг)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сливочно-растительное (кг)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31450-2013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 4929-2003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Р 52092-2005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 9222-180-00419785-04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32261-2013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ТУ.МД. 67.18.00459081-014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7128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упаковки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п/э пакет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п/э пакет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п/э пакет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 стакан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весовой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Фасованный п/стакан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Фасованный(0,200кг) фольга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Весовое, картонная коробка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Фасованное (0,200кг) фольга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«РКБ»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«РЦМиР»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1820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«РГИВОВ»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«Григориопольская ЦРБ»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ГУ«Дубоссарская ЦРБ»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5804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21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firstLine="567"/>
              <w:jc w:val="both"/>
              <w:rPr>
                <w:sz w:val="26"/>
                <w:szCs w:val="26"/>
                <w:lang w:eastAsia="en-US"/>
              </w:rPr>
            </w:pPr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«Рыбницкая ЦРБ»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13750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51" w:hanging="81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наименованию: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28824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9362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6750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2137</w:t>
            </w:r>
          </w:p>
        </w:tc>
      </w:tr>
    </w:tbl>
    <w:p>
      <w:pPr>
        <w:contextualSpacing/>
        <w:jc w:val="both"/>
        <w:rPr>
          <w:sz w:val="24"/>
          <w:szCs w:val="24"/>
        </w:rPr>
      </w:pPr>
    </w:p>
    <w:p>
      <w:pPr>
        <w:ind w:left="-42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sz w:val="24"/>
          <w:szCs w:val="24"/>
          <w:u w:val="single"/>
        </w:rPr>
        <w:t>вступившими в силу с 17 июля 2019 года,</w:t>
      </w:r>
      <w:r>
        <w:rPr>
          <w:sz w:val="24"/>
          <w:szCs w:val="24"/>
        </w:rPr>
        <w:t xml:space="preserve"> хозяйствующие субъекты подают </w:t>
      </w:r>
      <w:r>
        <w:rPr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>
      <w:pPr>
        <w:ind w:left="-42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t>1 октября 2019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(каб. № 10).</w:t>
      </w:r>
    </w:p>
    <w:p>
      <w:pPr>
        <w:pStyle w:val="11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fldChar w:fldCharType="begin"/>
      </w:r>
      <w:r>
        <w:instrText xml:space="preserve"> HYPERLINK "mailto:minzdravpmr@idknet.com" </w:instrText>
      </w:r>
      <w:r>
        <w:fldChar w:fldCharType="separate"/>
      </w:r>
      <w:r>
        <w:rPr>
          <w:rStyle w:val="5"/>
          <w:rFonts w:eastAsiaTheme="majorEastAsia"/>
          <w:sz w:val="24"/>
          <w:szCs w:val="24"/>
        </w:rPr>
        <w:t>minzdravpmr@idknet.com</w:t>
      </w:r>
      <w:r>
        <w:rPr>
          <w:rStyle w:val="5"/>
          <w:rFonts w:eastAsiaTheme="majorEastAsia"/>
          <w:sz w:val="24"/>
          <w:szCs w:val="24"/>
        </w:rPr>
        <w:fldChar w:fldCharType="end"/>
      </w:r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>
      <w:pPr>
        <w:pStyle w:val="11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 октября 2019 года в 14:00 часов</w:t>
      </w:r>
      <w:r>
        <w:rPr>
          <w:b/>
          <w:sz w:val="24"/>
          <w:szCs w:val="24"/>
        </w:rPr>
        <w:br w:type="textWrapping"/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>
      <w:pPr>
        <w:pStyle w:val="10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>краткие характеристики и возможный объем (минимальное количество) поставки предмета тендера;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z w:val="24"/>
          <w:szCs w:val="24"/>
        </w:rPr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>условия и срок поставки предмета тендера.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z w:val="24"/>
          <w:szCs w:val="24"/>
        </w:rPr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sz w:val="24"/>
          <w:szCs w:val="24"/>
        </w:rPr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копия </w:t>
      </w:r>
      <w:r>
        <w:rPr>
          <w:sz w:val="24"/>
          <w:szCs w:val="24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rStyle w:val="12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  <w:t> </w:t>
      </w:r>
      <w:r>
        <w:rPr>
          <w:rStyle w:val="13"/>
          <w:color w:val="000000"/>
          <w:sz w:val="24"/>
          <w:szCs w:val="24"/>
          <w:shd w:val="clear" w:color="auto" w:fill="F7F8F9"/>
        </w:rPr>
        <w:t>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10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>
      <w:pPr>
        <w:pStyle w:val="10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 редакции.</w:t>
      </w:r>
    </w:p>
    <w:p>
      <w:pPr>
        <w:ind w:firstLine="567"/>
        <w:jc w:val="both"/>
        <w:rPr>
          <w:b/>
          <w:sz w:val="28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sz w:val="28"/>
        </w:rPr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>
      <w:pPr>
        <w:ind w:firstLine="567"/>
      </w:pPr>
    </w:p>
    <w:p>
      <w:pPr>
        <w:ind w:firstLine="567"/>
      </w:pPr>
    </w:p>
    <w:tbl>
      <w:tblPr>
        <w:tblStyle w:val="6"/>
        <w:tblW w:w="11341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357"/>
        <w:gridCol w:w="992"/>
        <w:gridCol w:w="1276"/>
        <w:gridCol w:w="743"/>
        <w:gridCol w:w="1383"/>
        <w:gridCol w:w="1134"/>
        <w:gridCol w:w="992"/>
        <w:gridCol w:w="1134"/>
        <w:gridCol w:w="85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№ п/п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Заказываемое количество (ед)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Рег. номер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 изм., руб. ПМР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(уп.)</w:t>
            </w:r>
          </w:p>
        </w:tc>
      </w:tr>
    </w:tbl>
    <w:p>
      <w:pPr>
        <w:ind w:firstLine="567"/>
      </w:pPr>
    </w:p>
    <w:p>
      <w:pPr>
        <w:ind w:firstLine="567"/>
        <w:rPr>
          <w:b/>
          <w:color w:val="FF0000"/>
          <w:sz w:val="32"/>
          <w:u w:val="single"/>
        </w:rPr>
      </w:pPr>
    </w:p>
    <w:p>
      <w:pPr>
        <w:ind w:firstLine="567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*Примечание:</w:t>
      </w:r>
    </w:p>
    <w:p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Порядок расположения колонок и строк строго соблюдается, строки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/>
    <w:p>
      <w:pPr>
        <w:ind w:firstLine="567"/>
        <w:jc w:val="both"/>
      </w:pPr>
    </w:p>
    <w:sectPr>
      <w:pgSz w:w="11906" w:h="16838"/>
      <w:pgMar w:top="284" w:right="850" w:bottom="142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S Shell Dlg 2">
    <w:altName w:val="Tahoma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8D9"/>
    <w:multiLevelType w:val="multilevel"/>
    <w:tmpl w:val="351768D9"/>
    <w:lvl w:ilvl="0" w:tentative="0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2433"/>
        </w:tabs>
        <w:ind w:left="2433" w:hanging="360"/>
      </w:pPr>
    </w:lvl>
    <w:lvl w:ilvl="2" w:tentative="0">
      <w:start w:val="1"/>
      <w:numFmt w:val="decimal"/>
      <w:lvlText w:val="%3."/>
      <w:lvlJc w:val="left"/>
      <w:pPr>
        <w:tabs>
          <w:tab w:val="left" w:pos="3153"/>
        </w:tabs>
        <w:ind w:left="3153" w:hanging="360"/>
      </w:pPr>
    </w:lvl>
    <w:lvl w:ilvl="3" w:tentative="0">
      <w:start w:val="1"/>
      <w:numFmt w:val="decimal"/>
      <w:lvlText w:val="%4."/>
      <w:lvlJc w:val="left"/>
      <w:pPr>
        <w:tabs>
          <w:tab w:val="left" w:pos="3873"/>
        </w:tabs>
        <w:ind w:left="3873" w:hanging="360"/>
      </w:pPr>
    </w:lvl>
    <w:lvl w:ilvl="4" w:tentative="0">
      <w:start w:val="1"/>
      <w:numFmt w:val="decimal"/>
      <w:lvlText w:val="%5."/>
      <w:lvlJc w:val="left"/>
      <w:pPr>
        <w:tabs>
          <w:tab w:val="left" w:pos="4593"/>
        </w:tabs>
        <w:ind w:left="4593" w:hanging="360"/>
      </w:pPr>
    </w:lvl>
    <w:lvl w:ilvl="5" w:tentative="0">
      <w:start w:val="1"/>
      <w:numFmt w:val="decimal"/>
      <w:lvlText w:val="%6."/>
      <w:lvlJc w:val="left"/>
      <w:pPr>
        <w:tabs>
          <w:tab w:val="left" w:pos="5313"/>
        </w:tabs>
        <w:ind w:left="5313" w:hanging="360"/>
      </w:pPr>
    </w:lvl>
    <w:lvl w:ilvl="6" w:tentative="0">
      <w:start w:val="1"/>
      <w:numFmt w:val="decimal"/>
      <w:lvlText w:val="%7."/>
      <w:lvlJc w:val="left"/>
      <w:pPr>
        <w:tabs>
          <w:tab w:val="left" w:pos="6033"/>
        </w:tabs>
        <w:ind w:left="6033" w:hanging="360"/>
      </w:pPr>
    </w:lvl>
    <w:lvl w:ilvl="7" w:tentative="0">
      <w:start w:val="1"/>
      <w:numFmt w:val="decimal"/>
      <w:lvlText w:val="%8."/>
      <w:lvlJc w:val="left"/>
      <w:pPr>
        <w:tabs>
          <w:tab w:val="left" w:pos="6753"/>
        </w:tabs>
        <w:ind w:left="6753" w:hanging="360"/>
      </w:pPr>
    </w:lvl>
    <w:lvl w:ilvl="8" w:tentative="0">
      <w:start w:val="1"/>
      <w:numFmt w:val="decimal"/>
      <w:lvlText w:val="%9."/>
      <w:lvlJc w:val="left"/>
      <w:pPr>
        <w:tabs>
          <w:tab w:val="left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534B7"/>
    <w:rsid w:val="001F7840"/>
    <w:rsid w:val="002936A5"/>
    <w:rsid w:val="002B6A0F"/>
    <w:rsid w:val="0030399F"/>
    <w:rsid w:val="00307C31"/>
    <w:rsid w:val="00310D3E"/>
    <w:rsid w:val="00340CBE"/>
    <w:rsid w:val="0035547D"/>
    <w:rsid w:val="0035712C"/>
    <w:rsid w:val="003B2A9C"/>
    <w:rsid w:val="00404E14"/>
    <w:rsid w:val="004F7BDB"/>
    <w:rsid w:val="00511BF6"/>
    <w:rsid w:val="00612DDE"/>
    <w:rsid w:val="00690712"/>
    <w:rsid w:val="008D30E2"/>
    <w:rsid w:val="0092435A"/>
    <w:rsid w:val="009534B7"/>
    <w:rsid w:val="00990959"/>
    <w:rsid w:val="009B23AF"/>
    <w:rsid w:val="00A122A2"/>
    <w:rsid w:val="00AB25E6"/>
    <w:rsid w:val="00AD097E"/>
    <w:rsid w:val="00BA2B89"/>
    <w:rsid w:val="00C123EB"/>
    <w:rsid w:val="00CB04F0"/>
    <w:rsid w:val="00CB40CB"/>
    <w:rsid w:val="00CC271C"/>
    <w:rsid w:val="00D23331"/>
    <w:rsid w:val="00DF504F"/>
    <w:rsid w:val="00EA063A"/>
    <w:rsid w:val="00EB7814"/>
    <w:rsid w:val="00F145B3"/>
    <w:rsid w:val="00F9506B"/>
    <w:rsid w:val="00FE2206"/>
    <w:rsid w:val="112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jc w:val="right"/>
      <w:outlineLvl w:val="2"/>
    </w:pPr>
    <w:rPr>
      <w:b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9">
    <w:name w:val="Заголовок 3 Знак"/>
    <w:basedOn w:val="4"/>
    <w:link w:val="3"/>
    <w:semiHidden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apple-converted-space"/>
    <w:basedOn w:val="4"/>
    <w:uiPriority w:val="0"/>
  </w:style>
  <w:style w:type="character" w:customStyle="1" w:styleId="13">
    <w:name w:val="msg-body-block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5A322-F255-4BEE-9A19-CE12FA3A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1039</Words>
  <Characters>5925</Characters>
  <Lines>49</Lines>
  <Paragraphs>13</Paragraphs>
  <TotalTime>151</TotalTime>
  <ScaleCrop>false</ScaleCrop>
  <LinksUpToDate>false</LinksUpToDate>
  <CharactersWithSpaces>6951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2019-08-19T11:56:00Z</dcterms:created>
  <dc:creator>buh4</dc:creator>
  <cp:lastModifiedBy>Юка</cp:lastModifiedBy>
  <cp:lastPrinted>2019-09-18T11:05:00Z</cp:lastPrinted>
  <dcterms:modified xsi:type="dcterms:W3CDTF">2019-10-22T21:07:50Z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