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2989" w14:textId="77777777" w:rsidR="00772F00" w:rsidRDefault="00772F00" w:rsidP="00772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F670" wp14:editId="27C00D91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1B8E8" w14:textId="0F906E4F" w:rsidR="00772F00" w:rsidRPr="000958B0" w:rsidRDefault="00772F00" w:rsidP="00772F00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772F00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772F00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5B3F7ED0" w14:textId="77777777" w:rsidR="00772F00" w:rsidRDefault="00772F00" w:rsidP="00772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9F6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54A1B8E8" w14:textId="0F906E4F" w:rsidR="00772F00" w:rsidRPr="000958B0" w:rsidRDefault="00772F00" w:rsidP="00772F00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772F00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772F00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5B3F7ED0" w14:textId="77777777" w:rsidR="00772F00" w:rsidRDefault="00772F00" w:rsidP="00772F00"/>
                  </w:txbxContent>
                </v:textbox>
              </v:shape>
            </w:pict>
          </mc:Fallback>
        </mc:AlternateContent>
      </w:r>
    </w:p>
    <w:p w14:paraId="00D419BB" w14:textId="77777777" w:rsidR="00772F00" w:rsidRDefault="00772F00" w:rsidP="00772F00"/>
    <w:p w14:paraId="63EBCDCF" w14:textId="77777777" w:rsidR="00772F00" w:rsidRDefault="00772F00" w:rsidP="00772F00"/>
    <w:p w14:paraId="684364DA" w14:textId="77777777" w:rsidR="00772F00" w:rsidRDefault="00772F00" w:rsidP="00772F00"/>
    <w:p w14:paraId="7C80DEA7" w14:textId="77777777" w:rsidR="00772F00" w:rsidRDefault="00772F00" w:rsidP="00772F00"/>
    <w:p w14:paraId="76EA963D" w14:textId="77777777" w:rsidR="00772F00" w:rsidRDefault="00772F00" w:rsidP="00772F00"/>
    <w:p w14:paraId="20929FD1" w14:textId="77777777" w:rsidR="00772F00" w:rsidRDefault="00772F00" w:rsidP="00772F00"/>
    <w:p w14:paraId="3409DFEE" w14:textId="77777777" w:rsidR="00772F00" w:rsidRDefault="00772F00" w:rsidP="00772F00"/>
    <w:p w14:paraId="79E0807A" w14:textId="77777777" w:rsidR="00772F00" w:rsidRDefault="00772F00" w:rsidP="00772F00"/>
    <w:p w14:paraId="34ADD26A" w14:textId="77777777" w:rsidR="00772F00" w:rsidRDefault="00772F00" w:rsidP="00772F00"/>
    <w:p w14:paraId="0B6DFD5C" w14:textId="77777777" w:rsidR="00772F00" w:rsidRDefault="00772F00" w:rsidP="00772F00">
      <w:pPr>
        <w:tabs>
          <w:tab w:val="left" w:pos="525"/>
          <w:tab w:val="center" w:pos="4677"/>
        </w:tabs>
        <w:jc w:val="center"/>
        <w:rPr>
          <w:b/>
        </w:rPr>
      </w:pPr>
    </w:p>
    <w:p w14:paraId="159D6587" w14:textId="137D601C" w:rsidR="00772F00" w:rsidRPr="003E0E62" w:rsidRDefault="00772F00" w:rsidP="00772F0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53637" wp14:editId="478D9AD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058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3985" wp14:editId="51FD701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6F9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78/1</w:t>
      </w:r>
    </w:p>
    <w:p w14:paraId="524C9ADF" w14:textId="77777777" w:rsidR="00772F00" w:rsidRPr="009C3B18" w:rsidRDefault="00772F00" w:rsidP="00772F00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5FDE4B01" w14:textId="77777777" w:rsidR="00772F00" w:rsidRPr="009C3B18" w:rsidRDefault="00772F00" w:rsidP="00772F00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6DF05813" w14:textId="77777777" w:rsidR="00772F00" w:rsidRPr="009C3B18" w:rsidRDefault="00772F00" w:rsidP="00772F00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386FD4A1" w14:textId="13E4306B" w:rsidR="00772F00" w:rsidRPr="00C677DB" w:rsidRDefault="00772F00" w:rsidP="00772F00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лекарственных средств для обеспечения больных страдающих </w:t>
      </w:r>
      <w:r w:rsidRPr="007A7EC7">
        <w:rPr>
          <w:b/>
          <w:spacing w:val="4"/>
        </w:rPr>
        <w:t xml:space="preserve">на приобретение </w:t>
      </w:r>
      <w:r w:rsidRPr="00723134">
        <w:rPr>
          <w:b/>
        </w:rPr>
        <w:t>лекарственных средств для проведения химио-, гормонотерапии онкологическим больным на 2021 год</w:t>
      </w:r>
    </w:p>
    <w:p w14:paraId="353CE48E" w14:textId="77777777" w:rsidR="00772F00" w:rsidRDefault="00772F00" w:rsidP="00772F00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7C18DAAC" w14:textId="00694C1B" w:rsidR="00772F00" w:rsidRDefault="00772F00" w:rsidP="00772F00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1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772F00" w:rsidRPr="00493A52" w14:paraId="4B996577" w14:textId="77777777" w:rsidTr="00047A4C">
        <w:tc>
          <w:tcPr>
            <w:tcW w:w="5637" w:type="dxa"/>
            <w:hideMark/>
          </w:tcPr>
          <w:p w14:paraId="6895E7AA" w14:textId="77777777" w:rsidR="00772F00" w:rsidRPr="00493A52" w:rsidRDefault="00772F00" w:rsidP="00047A4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59E5451E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</w:p>
        </w:tc>
      </w:tr>
      <w:tr w:rsidR="00772F00" w:rsidRPr="00493A52" w14:paraId="719118BB" w14:textId="77777777" w:rsidTr="00047A4C">
        <w:tc>
          <w:tcPr>
            <w:tcW w:w="5637" w:type="dxa"/>
            <w:hideMark/>
          </w:tcPr>
          <w:p w14:paraId="56D670B4" w14:textId="77777777" w:rsidR="00772F00" w:rsidRPr="00493A52" w:rsidRDefault="00772F00" w:rsidP="00047A4C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BAE877F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772F00" w:rsidRPr="00493A52" w14:paraId="45936CA9" w14:textId="77777777" w:rsidTr="00047A4C">
        <w:tc>
          <w:tcPr>
            <w:tcW w:w="5637" w:type="dxa"/>
          </w:tcPr>
          <w:p w14:paraId="666EB90A" w14:textId="77777777" w:rsidR="00772F00" w:rsidRPr="00493A52" w:rsidRDefault="00772F00" w:rsidP="00047A4C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0BD9F42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772F00" w:rsidRPr="00493A52" w14:paraId="292348BB" w14:textId="77777777" w:rsidTr="00047A4C">
        <w:tc>
          <w:tcPr>
            <w:tcW w:w="5637" w:type="dxa"/>
            <w:hideMark/>
          </w:tcPr>
          <w:p w14:paraId="43BC6663" w14:textId="77777777" w:rsidR="00772F00" w:rsidRPr="00493A52" w:rsidRDefault="00772F00" w:rsidP="00047A4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DB0B962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6FC4C123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6A324211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251D64D0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73B142D8" w14:textId="77777777" w:rsidR="00772F00" w:rsidRDefault="00772F00" w:rsidP="00047A4C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  <w:p w14:paraId="725E5D04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772F00" w:rsidRPr="00493A52" w14:paraId="69D2AC62" w14:textId="77777777" w:rsidTr="00047A4C">
        <w:trPr>
          <w:trHeight w:val="543"/>
        </w:trPr>
        <w:tc>
          <w:tcPr>
            <w:tcW w:w="5637" w:type="dxa"/>
            <w:hideMark/>
          </w:tcPr>
          <w:p w14:paraId="49AA0586" w14:textId="77777777" w:rsidR="00772F00" w:rsidRPr="00493A52" w:rsidRDefault="00772F00" w:rsidP="00047A4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AA2CC7C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728B6C9D" w14:textId="77777777" w:rsidR="00772F00" w:rsidRPr="00493A52" w:rsidRDefault="00772F00" w:rsidP="00047A4C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772F00" w:rsidRPr="00493A52" w14:paraId="7CD4CE64" w14:textId="77777777" w:rsidTr="00047A4C">
        <w:trPr>
          <w:trHeight w:val="168"/>
        </w:trPr>
        <w:tc>
          <w:tcPr>
            <w:tcW w:w="9356" w:type="dxa"/>
            <w:gridSpan w:val="2"/>
          </w:tcPr>
          <w:p w14:paraId="522C146D" w14:textId="77777777" w:rsidR="00772F00" w:rsidRPr="00493A52" w:rsidRDefault="00772F00" w:rsidP="00047A4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001877DD" w14:textId="77777777" w:rsidR="00772F00" w:rsidRDefault="00772F00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45BAF9BB" w14:textId="77777777" w:rsidR="00772F00" w:rsidRDefault="00772F00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310B475D" w14:textId="77777777" w:rsidR="00772F00" w:rsidRDefault="00772F00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Софронюк</w:t>
            </w:r>
            <w:proofErr w:type="spellEnd"/>
            <w:r>
              <w:rPr>
                <w:bCs/>
              </w:rPr>
              <w:t xml:space="preserve"> Т.С.;</w:t>
            </w:r>
          </w:p>
          <w:p w14:paraId="18BD8664" w14:textId="77777777" w:rsidR="00772F00" w:rsidRDefault="00772F00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В.В.;</w:t>
            </w:r>
          </w:p>
          <w:p w14:paraId="39D9685F" w14:textId="77777777" w:rsidR="00772F00" w:rsidRDefault="00772F00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6485C745" w14:textId="77777777" w:rsidR="00772F00" w:rsidRDefault="00772F00" w:rsidP="00047A4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Куртьева</w:t>
            </w:r>
            <w:proofErr w:type="spellEnd"/>
            <w:r>
              <w:rPr>
                <w:bCs/>
              </w:rPr>
              <w:t xml:space="preserve"> Т.Ф.;</w:t>
            </w:r>
          </w:p>
          <w:p w14:paraId="7B3A9C32" w14:textId="77777777" w:rsidR="00772F00" w:rsidRDefault="00772F00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12872D37" w14:textId="77777777" w:rsidR="00772F00" w:rsidRDefault="00772F00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66DE64FB" w14:textId="77777777" w:rsidR="00772F00" w:rsidRPr="00493A52" w:rsidRDefault="00772F00" w:rsidP="00047A4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СООО «Адонис» - </w:t>
            </w:r>
            <w:proofErr w:type="spellStart"/>
            <w:r>
              <w:rPr>
                <w:bCs/>
              </w:rPr>
              <w:t>Спыну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</w:tbl>
    <w:p w14:paraId="0AFED109" w14:textId="77777777" w:rsidR="00772F00" w:rsidRPr="00A51D2B" w:rsidRDefault="00772F00" w:rsidP="00772F00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6CA5FFBD" w14:textId="77777777" w:rsidR="00772F00" w:rsidRDefault="00772F00" w:rsidP="00772F00">
      <w:pPr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</w:t>
      </w:r>
      <w:r w:rsidRPr="00065BB5">
        <w:rPr>
          <w:shd w:val="clear" w:color="auto" w:fill="FFFFFF"/>
        </w:rPr>
        <w:lastRenderedPageBreak/>
        <w:t>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3750DBB7" w14:textId="77777777" w:rsidR="00772F00" w:rsidRDefault="00772F00" w:rsidP="00772F00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3409BE3E" w14:textId="77777777" w:rsidR="00772F00" w:rsidRDefault="00772F00" w:rsidP="00772F00">
      <w:pPr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74D4244A" w14:textId="77777777" w:rsidR="00772F00" w:rsidRPr="002A7CF9" w:rsidRDefault="00772F00" w:rsidP="00772F00">
      <w:pPr>
        <w:ind w:firstLine="709"/>
        <w:contextualSpacing/>
        <w:jc w:val="center"/>
      </w:pPr>
    </w:p>
    <w:p w14:paraId="09812DF0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3BCBF7D3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1AEF36DE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заключении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 xml:space="preserve"> за исключением:</w:t>
      </w:r>
    </w:p>
    <w:p w14:paraId="661894A0" w14:textId="77777777" w:rsidR="00772F00" w:rsidRPr="00813C2B" w:rsidRDefault="00772F00" w:rsidP="00772F00">
      <w:pPr>
        <w:ind w:firstLine="709"/>
        <w:jc w:val="both"/>
      </w:pPr>
      <w:r>
        <w:t xml:space="preserve">- </w:t>
      </w:r>
      <w:r w:rsidRPr="00813C2B">
        <w:t>позиции №3 «</w:t>
      </w:r>
      <w:proofErr w:type="spellStart"/>
      <w:r w:rsidRPr="00813C2B">
        <w:t>Золедроновая</w:t>
      </w:r>
      <w:proofErr w:type="spellEnd"/>
      <w:r w:rsidRPr="00813C2B">
        <w:t xml:space="preserve"> кислота, </w:t>
      </w:r>
      <w:proofErr w:type="spellStart"/>
      <w:r w:rsidRPr="00813C2B">
        <w:t>конц.для</w:t>
      </w:r>
      <w:proofErr w:type="spellEnd"/>
      <w:r w:rsidRPr="00813C2B">
        <w:t xml:space="preserve"> </w:t>
      </w:r>
      <w:proofErr w:type="spellStart"/>
      <w:r w:rsidRPr="00813C2B">
        <w:t>приг.р-ра</w:t>
      </w:r>
      <w:proofErr w:type="spellEnd"/>
      <w:r w:rsidRPr="00813C2B">
        <w:t xml:space="preserve"> для инф.» - коммерческие предложения ООО «</w:t>
      </w:r>
      <w:proofErr w:type="spellStart"/>
      <w:r w:rsidRPr="00813C2B">
        <w:t>Провизор.ком</w:t>
      </w:r>
      <w:proofErr w:type="spellEnd"/>
      <w:r w:rsidRPr="00813C2B">
        <w:t>» - «</w:t>
      </w:r>
      <w:proofErr w:type="spellStart"/>
      <w:r w:rsidRPr="00813C2B">
        <w:t>Золента</w:t>
      </w:r>
      <w:proofErr w:type="spellEnd"/>
      <w:r w:rsidRPr="00813C2B">
        <w:t xml:space="preserve"> </w:t>
      </w:r>
      <w:proofErr w:type="spellStart"/>
      <w:r w:rsidRPr="00813C2B">
        <w:t>Ромфарм</w:t>
      </w:r>
      <w:proofErr w:type="spellEnd"/>
      <w:r w:rsidRPr="00813C2B">
        <w:t xml:space="preserve"> </w:t>
      </w:r>
      <w:proofErr w:type="spellStart"/>
      <w:r w:rsidRPr="00813C2B">
        <w:t>лиоф.для</w:t>
      </w:r>
      <w:proofErr w:type="spellEnd"/>
      <w:r w:rsidRPr="00813C2B">
        <w:t xml:space="preserve"> </w:t>
      </w:r>
      <w:proofErr w:type="spellStart"/>
      <w:r w:rsidRPr="00813C2B">
        <w:t>приг.р-ра</w:t>
      </w:r>
      <w:proofErr w:type="spellEnd"/>
      <w:r w:rsidRPr="00813C2B">
        <w:t xml:space="preserve"> для инф.4мг/5мл №1» (производство – </w:t>
      </w:r>
      <w:proofErr w:type="spellStart"/>
      <w:r w:rsidRPr="00813C2B">
        <w:t>Rompharm</w:t>
      </w:r>
      <w:proofErr w:type="spellEnd"/>
      <w:r w:rsidRPr="00813C2B">
        <w:t xml:space="preserve"> </w:t>
      </w:r>
      <w:proofErr w:type="spellStart"/>
      <w:r w:rsidRPr="00813C2B">
        <w:t>Company</w:t>
      </w:r>
      <w:proofErr w:type="spellEnd"/>
      <w:r w:rsidRPr="00813C2B">
        <w:t xml:space="preserve"> S.R.L, Румыния); ООО «</w:t>
      </w:r>
      <w:proofErr w:type="spellStart"/>
      <w:r w:rsidRPr="00813C2B">
        <w:t>Медфарм</w:t>
      </w:r>
      <w:proofErr w:type="spellEnd"/>
      <w:r w:rsidRPr="00813C2B">
        <w:t>» - «</w:t>
      </w:r>
      <w:proofErr w:type="spellStart"/>
      <w:r w:rsidRPr="00813C2B">
        <w:t>Золистра</w:t>
      </w:r>
      <w:proofErr w:type="spellEnd"/>
      <w:r w:rsidRPr="00813C2B">
        <w:t xml:space="preserve"> </w:t>
      </w:r>
      <w:proofErr w:type="spellStart"/>
      <w:r w:rsidRPr="00813C2B">
        <w:t>лиоф.для</w:t>
      </w:r>
      <w:proofErr w:type="spellEnd"/>
      <w:r w:rsidRPr="00813C2B">
        <w:t xml:space="preserve"> </w:t>
      </w:r>
      <w:proofErr w:type="spellStart"/>
      <w:r w:rsidRPr="00813C2B">
        <w:t>приг.р-ра</w:t>
      </w:r>
      <w:proofErr w:type="spellEnd"/>
      <w:r w:rsidRPr="00813C2B">
        <w:t xml:space="preserve"> 4мг/100мл №1» (производство – </w:t>
      </w:r>
      <w:proofErr w:type="spellStart"/>
      <w:r w:rsidRPr="00813C2B">
        <w:t>CelonLab</w:t>
      </w:r>
      <w:proofErr w:type="spellEnd"/>
      <w:r w:rsidRPr="00813C2B">
        <w:t>, Индия) и «</w:t>
      </w:r>
      <w:proofErr w:type="spellStart"/>
      <w:r w:rsidRPr="00813C2B">
        <w:t>Золоник</w:t>
      </w:r>
      <w:proofErr w:type="spellEnd"/>
      <w:r w:rsidRPr="00813C2B">
        <w:t xml:space="preserve"> </w:t>
      </w:r>
      <w:proofErr w:type="spellStart"/>
      <w:r w:rsidRPr="00813C2B">
        <w:t>лиоф.для</w:t>
      </w:r>
      <w:proofErr w:type="spellEnd"/>
      <w:r w:rsidRPr="00813C2B">
        <w:t xml:space="preserve"> </w:t>
      </w:r>
      <w:proofErr w:type="spellStart"/>
      <w:r w:rsidRPr="00813C2B">
        <w:t>приг.р-ра</w:t>
      </w:r>
      <w:proofErr w:type="spellEnd"/>
      <w:r w:rsidRPr="00813C2B">
        <w:t xml:space="preserve"> </w:t>
      </w:r>
      <w:proofErr w:type="spellStart"/>
      <w:r w:rsidRPr="00813C2B">
        <w:t>фл</w:t>
      </w:r>
      <w:proofErr w:type="spellEnd"/>
      <w:r w:rsidRPr="00813C2B">
        <w:t xml:space="preserve">. 4мг/5мл» (производство – </w:t>
      </w:r>
      <w:proofErr w:type="spellStart"/>
      <w:r w:rsidRPr="00813C2B">
        <w:t>Bruck</w:t>
      </w:r>
      <w:proofErr w:type="spellEnd"/>
      <w:r w:rsidRPr="00813C2B">
        <w:t xml:space="preserve"> </w:t>
      </w:r>
      <w:proofErr w:type="spellStart"/>
      <w:r w:rsidRPr="00813C2B">
        <w:t>Pharma</w:t>
      </w:r>
      <w:proofErr w:type="spellEnd"/>
      <w:r w:rsidRPr="00813C2B">
        <w:t xml:space="preserve"> </w:t>
      </w:r>
      <w:proofErr w:type="spellStart"/>
      <w:r w:rsidRPr="00813C2B">
        <w:t>Pvt</w:t>
      </w:r>
      <w:proofErr w:type="spellEnd"/>
      <w:r w:rsidRPr="00813C2B">
        <w:t xml:space="preserve"> </w:t>
      </w:r>
      <w:proofErr w:type="spellStart"/>
      <w:r w:rsidRPr="00813C2B">
        <w:t>Ltd</w:t>
      </w:r>
      <w:proofErr w:type="spellEnd"/>
      <w:r w:rsidRPr="00813C2B">
        <w:t xml:space="preserve">, Индия), в связи с тем что предложенная лекарственная форма не соответствует заявленной; </w:t>
      </w:r>
      <w:r>
        <w:br/>
      </w:r>
      <w:r w:rsidRPr="00813C2B">
        <w:t>ООО «</w:t>
      </w:r>
      <w:proofErr w:type="spellStart"/>
      <w:r w:rsidRPr="00813C2B">
        <w:t>Валеандр</w:t>
      </w:r>
      <w:proofErr w:type="spellEnd"/>
      <w:r w:rsidRPr="00813C2B">
        <w:t>» - «</w:t>
      </w:r>
      <w:proofErr w:type="spellStart"/>
      <w:r w:rsidRPr="00813C2B">
        <w:t>Золедроновая</w:t>
      </w:r>
      <w:proofErr w:type="spellEnd"/>
      <w:r w:rsidRPr="00813C2B">
        <w:t xml:space="preserve"> кислота </w:t>
      </w:r>
      <w:proofErr w:type="spellStart"/>
      <w:r w:rsidRPr="00813C2B">
        <w:t>конц.для</w:t>
      </w:r>
      <w:proofErr w:type="spellEnd"/>
      <w:r w:rsidRPr="00813C2B">
        <w:t xml:space="preserve"> </w:t>
      </w:r>
      <w:proofErr w:type="spellStart"/>
      <w:r w:rsidRPr="00813C2B">
        <w:t>приг.р-ра</w:t>
      </w:r>
      <w:proofErr w:type="spellEnd"/>
      <w:r w:rsidRPr="00813C2B">
        <w:t xml:space="preserve"> для инф.4мг/5мл фл.№1» (производство – РУП «</w:t>
      </w:r>
      <w:proofErr w:type="spellStart"/>
      <w:r w:rsidRPr="00813C2B">
        <w:t>Белмедпрепараты</w:t>
      </w:r>
      <w:proofErr w:type="spellEnd"/>
      <w:r w:rsidRPr="00813C2B">
        <w:t>», Беларусь), в связи с тем что коммерческом предложении допущена ошибка в лекарственной форме препарата и также, не соответствует заявленной лекарственной форме</w:t>
      </w:r>
      <w:r>
        <w:t>.</w:t>
      </w:r>
    </w:p>
    <w:p w14:paraId="580A9DE2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уровня цен представленных заявок на участие в тендере фирм-поставщиков выношу на голосование вопрос об </w:t>
      </w:r>
      <w:r>
        <w:rPr>
          <w:bCs/>
        </w:rPr>
        <w:lastRenderedPageBreak/>
        <w:t>исключении из рассмотрения</w:t>
      </w:r>
      <w:r>
        <w:t xml:space="preserve"> во втором этапе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следующих хозяйствующих субъектов:</w:t>
      </w:r>
    </w:p>
    <w:p w14:paraId="2A57C630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0C0D1A8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45AE62C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2E3CEB72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2213680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7F34AE47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30EDBA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E4394E" w14:paraId="05F0F6C1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DBFF28D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7C903EE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</w:t>
            </w:r>
            <w:r w:rsidRPr="00E4394E">
              <w:rPr>
                <w:sz w:val="20"/>
                <w:szCs w:val="20"/>
              </w:rPr>
              <w:t>ента</w:t>
            </w:r>
            <w:proofErr w:type="spellEnd"/>
            <w:r w:rsidRPr="00E4394E">
              <w:rPr>
                <w:sz w:val="20"/>
                <w:szCs w:val="20"/>
              </w:rPr>
              <w:t xml:space="preserve"> </w:t>
            </w:r>
            <w:proofErr w:type="spellStart"/>
            <w:r w:rsidRPr="00E4394E">
              <w:rPr>
                <w:sz w:val="20"/>
                <w:szCs w:val="20"/>
              </w:rPr>
              <w:t>Ромфарм</w:t>
            </w:r>
            <w:proofErr w:type="spellEnd"/>
            <w:r w:rsidRPr="00E4394E">
              <w:rPr>
                <w:sz w:val="20"/>
                <w:szCs w:val="20"/>
              </w:rPr>
              <w:t xml:space="preserve"> </w:t>
            </w:r>
            <w:proofErr w:type="spellStart"/>
            <w:r w:rsidRPr="00E4394E">
              <w:rPr>
                <w:sz w:val="20"/>
                <w:szCs w:val="20"/>
              </w:rPr>
              <w:t>лиофил</w:t>
            </w:r>
            <w:proofErr w:type="spellEnd"/>
            <w:r w:rsidRPr="00E4394E">
              <w:rPr>
                <w:sz w:val="20"/>
                <w:szCs w:val="20"/>
              </w:rPr>
              <w:t xml:space="preserve"> д/</w:t>
            </w:r>
            <w:proofErr w:type="spellStart"/>
            <w:r w:rsidRPr="00E4394E">
              <w:rPr>
                <w:sz w:val="20"/>
                <w:szCs w:val="20"/>
              </w:rPr>
              <w:t>приг</w:t>
            </w:r>
            <w:proofErr w:type="spellEnd"/>
            <w:r w:rsidRPr="00E4394E">
              <w:rPr>
                <w:sz w:val="20"/>
                <w:szCs w:val="20"/>
              </w:rPr>
              <w:t xml:space="preserve"> р-</w:t>
            </w:r>
            <w:proofErr w:type="spellStart"/>
            <w:r w:rsidRPr="00E4394E">
              <w:rPr>
                <w:sz w:val="20"/>
                <w:szCs w:val="20"/>
              </w:rPr>
              <w:t>ра</w:t>
            </w:r>
            <w:proofErr w:type="spellEnd"/>
            <w:r w:rsidRPr="00E4394E">
              <w:rPr>
                <w:sz w:val="20"/>
                <w:szCs w:val="20"/>
              </w:rPr>
              <w:t xml:space="preserve"> д/инфузий 4 мг/5мл №1</w:t>
            </w:r>
          </w:p>
        </w:tc>
        <w:tc>
          <w:tcPr>
            <w:tcW w:w="2328" w:type="dxa"/>
            <w:vAlign w:val="center"/>
          </w:tcPr>
          <w:p w14:paraId="75A8B346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4394E">
              <w:rPr>
                <w:sz w:val="20"/>
                <w:szCs w:val="20"/>
                <w:lang w:val="en-US"/>
              </w:rPr>
              <w:t>Rompharm</w:t>
            </w:r>
            <w:proofErr w:type="spellEnd"/>
            <w:r w:rsidRPr="00E4394E">
              <w:rPr>
                <w:sz w:val="20"/>
                <w:szCs w:val="20"/>
                <w:lang w:val="en-US"/>
              </w:rPr>
              <w:t xml:space="preserve"> Company S.R.L., </w:t>
            </w:r>
            <w:r w:rsidRPr="00E4394E">
              <w:rPr>
                <w:sz w:val="20"/>
                <w:szCs w:val="20"/>
              </w:rPr>
              <w:t>Румыния</w:t>
            </w:r>
          </w:p>
        </w:tc>
        <w:tc>
          <w:tcPr>
            <w:tcW w:w="2326" w:type="dxa"/>
            <w:vAlign w:val="center"/>
          </w:tcPr>
          <w:p w14:paraId="63F28155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4394E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4394E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E4394E">
              <w:rPr>
                <w:sz w:val="20"/>
                <w:szCs w:val="20"/>
                <w:lang w:val="en-US"/>
              </w:rPr>
              <w:t>/5мл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9589249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4394E">
              <w:rPr>
                <w:sz w:val="20"/>
                <w:szCs w:val="20"/>
              </w:rPr>
              <w:t>100</w:t>
            </w:r>
          </w:p>
        </w:tc>
      </w:tr>
    </w:tbl>
    <w:p w14:paraId="083703BD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lang w:val="en-US"/>
        </w:rPr>
      </w:pPr>
    </w:p>
    <w:p w14:paraId="419710EC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Медфарм</w:t>
      </w:r>
      <w:proofErr w:type="spellEnd"/>
      <w:r>
        <w:t>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0439F77E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B710E77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1B44D82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B26143C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3EE30C20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75508A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E4394E" w14:paraId="3FC39D8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ED843D0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9AE4E65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4394E">
              <w:rPr>
                <w:sz w:val="20"/>
                <w:szCs w:val="20"/>
              </w:rPr>
              <w:t>Золистра</w:t>
            </w:r>
            <w:proofErr w:type="spellEnd"/>
            <w:r w:rsidRPr="00E4394E">
              <w:rPr>
                <w:sz w:val="20"/>
                <w:szCs w:val="20"/>
              </w:rPr>
              <w:t xml:space="preserve"> </w:t>
            </w:r>
            <w:proofErr w:type="spellStart"/>
            <w:r w:rsidRPr="00E4394E">
              <w:rPr>
                <w:sz w:val="20"/>
                <w:szCs w:val="20"/>
              </w:rPr>
              <w:t>лиофилизат</w:t>
            </w:r>
            <w:proofErr w:type="spellEnd"/>
            <w:r w:rsidRPr="00E4394E">
              <w:rPr>
                <w:sz w:val="20"/>
                <w:szCs w:val="20"/>
              </w:rPr>
              <w:t xml:space="preserve"> для приготовления р-</w:t>
            </w:r>
            <w:proofErr w:type="spellStart"/>
            <w:r w:rsidRPr="00E4394E">
              <w:rPr>
                <w:sz w:val="20"/>
                <w:szCs w:val="20"/>
              </w:rPr>
              <w:t>ра</w:t>
            </w:r>
            <w:proofErr w:type="spellEnd"/>
            <w:r w:rsidRPr="00E4394E">
              <w:rPr>
                <w:sz w:val="20"/>
                <w:szCs w:val="20"/>
              </w:rPr>
              <w:t xml:space="preserve"> 4мг/100 мл №1</w:t>
            </w:r>
          </w:p>
        </w:tc>
        <w:tc>
          <w:tcPr>
            <w:tcW w:w="2328" w:type="dxa"/>
            <w:vAlign w:val="center"/>
          </w:tcPr>
          <w:p w14:paraId="7F022545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4394E">
              <w:rPr>
                <w:sz w:val="20"/>
                <w:szCs w:val="20"/>
              </w:rPr>
              <w:t>CelonLab</w:t>
            </w:r>
            <w:proofErr w:type="spellEnd"/>
            <w:r w:rsidRPr="00E4394E">
              <w:rPr>
                <w:sz w:val="20"/>
                <w:szCs w:val="20"/>
              </w:rPr>
              <w:t>, Индия</w:t>
            </w:r>
          </w:p>
        </w:tc>
        <w:tc>
          <w:tcPr>
            <w:tcW w:w="2326" w:type="dxa"/>
            <w:vAlign w:val="center"/>
          </w:tcPr>
          <w:p w14:paraId="105CCB32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4394E">
              <w:rPr>
                <w:sz w:val="20"/>
                <w:szCs w:val="20"/>
              </w:rPr>
              <w:t>флакон 4мг/5мл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2EBEBD8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F00" w:rsidRPr="006759EA" w14:paraId="36E8B5A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E7F18A3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7CE101D3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759EA">
              <w:rPr>
                <w:sz w:val="20"/>
                <w:szCs w:val="20"/>
              </w:rPr>
              <w:t>Золоник</w:t>
            </w:r>
            <w:proofErr w:type="spellEnd"/>
            <w:r w:rsidRPr="006759EA">
              <w:rPr>
                <w:sz w:val="20"/>
                <w:szCs w:val="20"/>
              </w:rPr>
              <w:t xml:space="preserve"> (</w:t>
            </w:r>
            <w:proofErr w:type="spellStart"/>
            <w:r w:rsidRPr="006759EA">
              <w:rPr>
                <w:sz w:val="20"/>
                <w:szCs w:val="20"/>
              </w:rPr>
              <w:t>Zolonic</w:t>
            </w:r>
            <w:proofErr w:type="spellEnd"/>
            <w:r w:rsidRPr="006759EA">
              <w:rPr>
                <w:sz w:val="20"/>
                <w:szCs w:val="20"/>
              </w:rPr>
              <w:t xml:space="preserve">) </w:t>
            </w:r>
            <w:proofErr w:type="spellStart"/>
            <w:r w:rsidRPr="006759EA">
              <w:rPr>
                <w:sz w:val="20"/>
                <w:szCs w:val="20"/>
              </w:rPr>
              <w:t>лиофилизат</w:t>
            </w:r>
            <w:proofErr w:type="spellEnd"/>
            <w:r w:rsidRPr="006759EA">
              <w:rPr>
                <w:sz w:val="20"/>
                <w:szCs w:val="20"/>
              </w:rPr>
              <w:t xml:space="preserve"> для приготовления р-</w:t>
            </w:r>
            <w:proofErr w:type="spellStart"/>
            <w:r w:rsidRPr="006759EA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328" w:type="dxa"/>
            <w:vAlign w:val="center"/>
          </w:tcPr>
          <w:p w14:paraId="5F0FE8F9" w14:textId="77777777" w:rsidR="00772F00" w:rsidRPr="006759EA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6759EA">
              <w:rPr>
                <w:sz w:val="20"/>
                <w:szCs w:val="20"/>
                <w:lang w:val="en-US"/>
              </w:rPr>
              <w:t xml:space="preserve">Bruck Pharma Pvt Ltd, </w:t>
            </w:r>
            <w:r w:rsidRPr="006759EA">
              <w:rPr>
                <w:sz w:val="20"/>
                <w:szCs w:val="20"/>
              </w:rPr>
              <w:t>Индия</w:t>
            </w:r>
          </w:p>
        </w:tc>
        <w:tc>
          <w:tcPr>
            <w:tcW w:w="2326" w:type="dxa"/>
            <w:vAlign w:val="center"/>
          </w:tcPr>
          <w:p w14:paraId="006972E6" w14:textId="77777777" w:rsidR="00772F00" w:rsidRPr="006759EA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59EA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6759EA">
              <w:rPr>
                <w:sz w:val="20"/>
                <w:szCs w:val="20"/>
                <w:lang w:val="en-US"/>
              </w:rPr>
              <w:t xml:space="preserve"> 4мг/5мл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8699E3F" w14:textId="77777777" w:rsidR="00772F00" w:rsidRPr="006759EA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88E6718" w14:textId="77777777" w:rsidR="00772F00" w:rsidRDefault="00772F00" w:rsidP="00772F00">
      <w:pPr>
        <w:shd w:val="clear" w:color="auto" w:fill="FFFFFF"/>
        <w:ind w:firstLine="709"/>
        <w:contextualSpacing/>
        <w:jc w:val="both"/>
      </w:pPr>
    </w:p>
    <w:p w14:paraId="2A15D4DE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Валеандр</w:t>
      </w:r>
      <w:proofErr w:type="spellEnd"/>
      <w:r>
        <w:t>»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55DDC94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29417A0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265B19D6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0FFAEFE0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28D122A4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A2AC53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0E0546" w14:paraId="3321FA10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8802022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65D82AF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E0546">
              <w:rPr>
                <w:sz w:val="20"/>
                <w:szCs w:val="20"/>
              </w:rPr>
              <w:t>Золедроновая</w:t>
            </w:r>
            <w:proofErr w:type="spellEnd"/>
            <w:r w:rsidRPr="000E0546">
              <w:rPr>
                <w:sz w:val="20"/>
                <w:szCs w:val="20"/>
              </w:rPr>
              <w:t xml:space="preserve"> кислота, </w:t>
            </w:r>
            <w:proofErr w:type="spellStart"/>
            <w:r w:rsidRPr="000E0546">
              <w:rPr>
                <w:sz w:val="20"/>
                <w:szCs w:val="20"/>
              </w:rPr>
              <w:t>конц</w:t>
            </w:r>
            <w:proofErr w:type="spellEnd"/>
            <w:r w:rsidRPr="000E0546">
              <w:rPr>
                <w:sz w:val="20"/>
                <w:szCs w:val="20"/>
              </w:rPr>
              <w:t xml:space="preserve">. для </w:t>
            </w:r>
            <w:proofErr w:type="spellStart"/>
            <w:r w:rsidRPr="000E0546">
              <w:rPr>
                <w:sz w:val="20"/>
                <w:szCs w:val="20"/>
              </w:rPr>
              <w:t>приг</w:t>
            </w:r>
            <w:proofErr w:type="spellEnd"/>
            <w:r w:rsidRPr="000E0546">
              <w:rPr>
                <w:sz w:val="20"/>
                <w:szCs w:val="20"/>
              </w:rPr>
              <w:t>. р-</w:t>
            </w:r>
            <w:proofErr w:type="spellStart"/>
            <w:r w:rsidRPr="000E0546">
              <w:rPr>
                <w:sz w:val="20"/>
                <w:szCs w:val="20"/>
              </w:rPr>
              <w:t>ра</w:t>
            </w:r>
            <w:proofErr w:type="spellEnd"/>
            <w:r w:rsidRPr="000E0546">
              <w:rPr>
                <w:sz w:val="20"/>
                <w:szCs w:val="20"/>
              </w:rPr>
              <w:t xml:space="preserve"> для инф. 4мг/5мл флакон №1</w:t>
            </w:r>
          </w:p>
        </w:tc>
        <w:tc>
          <w:tcPr>
            <w:tcW w:w="2328" w:type="dxa"/>
            <w:vAlign w:val="center"/>
          </w:tcPr>
          <w:p w14:paraId="6C6B2E3E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546">
              <w:rPr>
                <w:sz w:val="20"/>
                <w:szCs w:val="20"/>
              </w:rPr>
              <w:t>РУП "</w:t>
            </w:r>
            <w:proofErr w:type="spellStart"/>
            <w:r w:rsidRPr="000E0546">
              <w:rPr>
                <w:sz w:val="20"/>
                <w:szCs w:val="20"/>
              </w:rPr>
              <w:t>Белмедпрепараты</w:t>
            </w:r>
            <w:proofErr w:type="spellEnd"/>
            <w:r w:rsidRPr="000E0546">
              <w:rPr>
                <w:sz w:val="20"/>
                <w:szCs w:val="20"/>
              </w:rPr>
              <w:t>", Беларусь</w:t>
            </w:r>
          </w:p>
        </w:tc>
        <w:tc>
          <w:tcPr>
            <w:tcW w:w="2326" w:type="dxa"/>
            <w:vAlign w:val="center"/>
          </w:tcPr>
          <w:p w14:paraId="66D9E2FA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546">
              <w:rPr>
                <w:sz w:val="20"/>
                <w:szCs w:val="20"/>
              </w:rPr>
              <w:t>флакон 4мг/5мл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FE584BC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39830284" w14:textId="77777777" w:rsidR="00772F00" w:rsidRPr="007D62F0" w:rsidRDefault="00772F00" w:rsidP="00772F00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72045F76" w14:textId="77777777" w:rsidR="00772F00" w:rsidRDefault="00772F00" w:rsidP="00772F00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2CCF2615" w14:textId="77777777" w:rsidR="00772F00" w:rsidRPr="00551724" w:rsidRDefault="00772F00" w:rsidP="00772F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21F4C2FB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45E8D85F" w14:textId="77777777" w:rsidR="00772F00" w:rsidRDefault="00772F00" w:rsidP="00772F00"/>
    <w:p w14:paraId="10C18F67" w14:textId="77777777" w:rsidR="00772F00" w:rsidRDefault="00772F00" w:rsidP="00772F00">
      <w:pPr>
        <w:ind w:firstLine="709"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 w:rsidRPr="00684184">
        <w:rPr>
          <w:bCs/>
        </w:rPr>
        <w:t>Также в ходе рассмотрения сводной таблицы на приобретение лекарственных средств для проведения химио-, гормонотерапии онкологическим больным на 2021 год</w:t>
      </w:r>
      <w:r>
        <w:rPr>
          <w:bCs/>
        </w:rPr>
        <w:t>, по позиции №6 (</w:t>
      </w:r>
      <w:proofErr w:type="spellStart"/>
      <w:r w:rsidRPr="00684184">
        <w:rPr>
          <w:bCs/>
        </w:rPr>
        <w:t>Сорафениб</w:t>
      </w:r>
      <w:proofErr w:type="spellEnd"/>
      <w:r>
        <w:rPr>
          <w:bCs/>
        </w:rPr>
        <w:t>) и №7 (</w:t>
      </w:r>
      <w:proofErr w:type="spellStart"/>
      <w:r w:rsidRPr="00684184">
        <w:rPr>
          <w:bCs/>
        </w:rPr>
        <w:t>Бендамустин</w:t>
      </w:r>
      <w:proofErr w:type="spellEnd"/>
      <w:r w:rsidRPr="00684184">
        <w:rPr>
          <w:bCs/>
        </w:rPr>
        <w:t xml:space="preserve">, </w:t>
      </w:r>
      <w:proofErr w:type="spellStart"/>
      <w:r w:rsidRPr="00684184">
        <w:rPr>
          <w:bCs/>
        </w:rPr>
        <w:t>лиофилизат</w:t>
      </w:r>
      <w:proofErr w:type="spellEnd"/>
      <w:r w:rsidRPr="00684184">
        <w:rPr>
          <w:bCs/>
        </w:rPr>
        <w:t xml:space="preserve"> для приготовления концентрата для приготовления раствора для инфузий</w:t>
      </w:r>
      <w:r>
        <w:rPr>
          <w:bCs/>
        </w:rPr>
        <w:t>), хозяйствующий субъект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», предлагает не приемлемый срок годности что составляет менее 25%, в место требуемых не менее 70%.</w:t>
      </w:r>
    </w:p>
    <w:p w14:paraId="6CA7228E" w14:textId="77777777" w:rsidR="00772F00" w:rsidRDefault="00772F00" w:rsidP="00772F00">
      <w:pPr>
        <w:ind w:firstLine="709"/>
        <w:jc w:val="both"/>
        <w:rPr>
          <w:bCs/>
        </w:rPr>
      </w:pPr>
      <w:r>
        <w:rPr>
          <w:bCs/>
        </w:rPr>
        <w:t>На основании вышеизложенного выношу на голосование вопрос об исключении из рассмотрения представленные позиции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 со сроком годности менее 25%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2D3DCCF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2E58E01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1B85B646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3AE633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0420E8E9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D93E17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0E0546" w14:paraId="23C9BDCB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6EC78F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8EA85A3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1CFA">
              <w:rPr>
                <w:sz w:val="20"/>
                <w:szCs w:val="20"/>
              </w:rPr>
              <w:t>Нексавар</w:t>
            </w:r>
            <w:proofErr w:type="spellEnd"/>
            <w:r w:rsidRPr="00BB1CFA">
              <w:rPr>
                <w:sz w:val="20"/>
                <w:szCs w:val="20"/>
              </w:rPr>
              <w:t xml:space="preserve"> (</w:t>
            </w:r>
            <w:proofErr w:type="spellStart"/>
            <w:r w:rsidRPr="00BB1CFA">
              <w:rPr>
                <w:sz w:val="20"/>
                <w:szCs w:val="20"/>
              </w:rPr>
              <w:t>Nexavar</w:t>
            </w:r>
            <w:proofErr w:type="spellEnd"/>
            <w:r w:rsidRPr="00BB1CFA">
              <w:rPr>
                <w:sz w:val="20"/>
                <w:szCs w:val="20"/>
              </w:rPr>
              <w:t>) 200 мг табл. №112</w:t>
            </w:r>
          </w:p>
        </w:tc>
        <w:tc>
          <w:tcPr>
            <w:tcW w:w="2328" w:type="dxa"/>
            <w:vAlign w:val="center"/>
          </w:tcPr>
          <w:p w14:paraId="48157E21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1CFA">
              <w:rPr>
                <w:sz w:val="20"/>
                <w:szCs w:val="20"/>
              </w:rPr>
              <w:t>BayerAG</w:t>
            </w:r>
            <w:proofErr w:type="spellEnd"/>
            <w:r w:rsidRPr="00BB1C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B1CFA">
              <w:rPr>
                <w:sz w:val="20"/>
                <w:szCs w:val="20"/>
              </w:rPr>
              <w:t>Germany</w:t>
            </w:r>
            <w:proofErr w:type="spellEnd"/>
            <w:r w:rsidRPr="00BB1CFA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  <w:vAlign w:val="center"/>
          </w:tcPr>
          <w:p w14:paraId="7B948F80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таблетка 200 мг №112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D5227B3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25(срок годности 05.2022)</w:t>
            </w:r>
          </w:p>
        </w:tc>
      </w:tr>
      <w:tr w:rsidR="00772F00" w:rsidRPr="000E0546" w14:paraId="680E472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82DE54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7097FE3A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1CFA">
              <w:rPr>
                <w:sz w:val="20"/>
                <w:szCs w:val="20"/>
              </w:rPr>
              <w:t>Рибомустин</w:t>
            </w:r>
            <w:proofErr w:type="spellEnd"/>
            <w:r w:rsidRPr="00BB1CFA">
              <w:rPr>
                <w:sz w:val="20"/>
                <w:szCs w:val="20"/>
              </w:rPr>
              <w:t xml:space="preserve"> (</w:t>
            </w:r>
            <w:proofErr w:type="spellStart"/>
            <w:r w:rsidRPr="00BB1CFA">
              <w:rPr>
                <w:sz w:val="20"/>
                <w:szCs w:val="20"/>
              </w:rPr>
              <w:t>Ribomustin</w:t>
            </w:r>
            <w:proofErr w:type="spellEnd"/>
            <w:r w:rsidRPr="00BB1CFA">
              <w:rPr>
                <w:sz w:val="20"/>
                <w:szCs w:val="20"/>
              </w:rPr>
              <w:t>) порошок для приготовления концентрата для приготовления раствора для инфузий по 100мг</w:t>
            </w:r>
          </w:p>
        </w:tc>
        <w:tc>
          <w:tcPr>
            <w:tcW w:w="2328" w:type="dxa"/>
            <w:vAlign w:val="center"/>
          </w:tcPr>
          <w:p w14:paraId="1200DC60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1CFA">
              <w:rPr>
                <w:sz w:val="20"/>
                <w:szCs w:val="20"/>
              </w:rPr>
              <w:t>AstellasPharmaНидерланды</w:t>
            </w:r>
            <w:proofErr w:type="spellEnd"/>
          </w:p>
        </w:tc>
        <w:tc>
          <w:tcPr>
            <w:tcW w:w="2326" w:type="dxa"/>
            <w:vAlign w:val="center"/>
          </w:tcPr>
          <w:p w14:paraId="46131888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флакон 100мг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A0E216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120 (срок годности 09.2022)</w:t>
            </w:r>
          </w:p>
        </w:tc>
      </w:tr>
    </w:tbl>
    <w:p w14:paraId="06CD5361" w14:textId="77777777" w:rsidR="00772F00" w:rsidRPr="007D62F0" w:rsidRDefault="00772F00" w:rsidP="00772F00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0E047567" w14:textId="77777777" w:rsidR="00772F00" w:rsidRDefault="00772F00" w:rsidP="00772F00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5C1896A1" w14:textId="77777777" w:rsidR="00772F00" w:rsidRPr="00551724" w:rsidRDefault="00772F00" w:rsidP="00772F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365790C1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58591607" w14:textId="77777777" w:rsidR="00772F00" w:rsidRDefault="00772F00" w:rsidP="00772F00">
      <w:pPr>
        <w:ind w:firstLine="709"/>
        <w:jc w:val="both"/>
        <w:rPr>
          <w:bCs/>
        </w:rPr>
      </w:pPr>
    </w:p>
    <w:p w14:paraId="6CAEE32E" w14:textId="77777777" w:rsidR="00772F00" w:rsidRDefault="00772F00" w:rsidP="00772F00">
      <w:pPr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уровня цен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всех хозяйствующих субъектов.</w:t>
      </w:r>
    </w:p>
    <w:p w14:paraId="0C4E5759" w14:textId="77777777" w:rsidR="00772F00" w:rsidRPr="007D62F0" w:rsidRDefault="00772F00" w:rsidP="00772F00">
      <w:pPr>
        <w:ind w:firstLine="709"/>
        <w:contextualSpacing/>
        <w:jc w:val="both"/>
        <w:rPr>
          <w:i/>
        </w:rPr>
      </w:pPr>
      <w:r w:rsidRPr="007D62F0">
        <w:rPr>
          <w:i/>
        </w:rPr>
        <w:lastRenderedPageBreak/>
        <w:t>Голосовали:</w:t>
      </w:r>
    </w:p>
    <w:p w14:paraId="347999B8" w14:textId="77777777" w:rsidR="00772F00" w:rsidRDefault="00772F00" w:rsidP="00772F00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8</w:t>
      </w:r>
      <w:r w:rsidRPr="007D62F0">
        <w:rPr>
          <w:i/>
        </w:rPr>
        <w:t xml:space="preserve"> (</w:t>
      </w:r>
      <w:r>
        <w:rPr>
          <w:i/>
        </w:rPr>
        <w:t>восем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380AFE03" w14:textId="77777777" w:rsidR="00772F00" w:rsidRPr="00551724" w:rsidRDefault="00772F00" w:rsidP="00772F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8BF8E96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07CDCDA3" w14:textId="77777777" w:rsidR="00772F00" w:rsidRDefault="00772F00" w:rsidP="00772F00">
      <w:pPr>
        <w:ind w:firstLine="709"/>
        <w:jc w:val="both"/>
        <w:rPr>
          <w:bCs/>
        </w:rPr>
      </w:pPr>
    </w:p>
    <w:p w14:paraId="7D56A214" w14:textId="77777777" w:rsidR="00772F00" w:rsidRDefault="00772F00" w:rsidP="00772F00">
      <w:pPr>
        <w:shd w:val="clear" w:color="auto" w:fill="FFFFFF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были допущены хозяйствующие субъекты: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Провизор.ком</w:t>
      </w:r>
      <w:proofErr w:type="spellEnd"/>
      <w:r>
        <w:t xml:space="preserve">», СООО «Адонис», </w:t>
      </w:r>
      <w:r>
        <w:br/>
        <w:t>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», ООО «Ремедиум».</w:t>
      </w:r>
    </w:p>
    <w:p w14:paraId="7F94DE7C" w14:textId="77777777" w:rsidR="00772F00" w:rsidRDefault="00772F00" w:rsidP="00772F00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0D2839C1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5B3C5A95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Провизор</w:t>
      </w:r>
      <w:proofErr w:type="gramStart"/>
      <w:r>
        <w:rPr>
          <w:spacing w:val="4"/>
        </w:rPr>
        <w:t>.</w:t>
      </w:r>
      <w:proofErr w:type="gramEnd"/>
      <w:r>
        <w:rPr>
          <w:spacing w:val="4"/>
        </w:rPr>
        <w:t>ком</w:t>
      </w:r>
      <w:proofErr w:type="spellEnd"/>
      <w:r>
        <w:rPr>
          <w:spacing w:val="4"/>
        </w:rPr>
        <w:t>»;</w:t>
      </w:r>
    </w:p>
    <w:p w14:paraId="356BEC2F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3 – СООО «Адонис»;</w:t>
      </w:r>
    </w:p>
    <w:p w14:paraId="085089B0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»;</w:t>
      </w:r>
    </w:p>
    <w:p w14:paraId="14BEEAC6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»;</w:t>
      </w:r>
    </w:p>
    <w:p w14:paraId="7B416C7E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».</w:t>
      </w:r>
    </w:p>
    <w:p w14:paraId="17EC1151" w14:textId="77777777" w:rsidR="00772F00" w:rsidRDefault="00772F00" w:rsidP="00772F0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7 – ООО «Ремедиум».</w:t>
      </w:r>
    </w:p>
    <w:p w14:paraId="5661077F" w14:textId="77777777" w:rsidR="00772F00" w:rsidRDefault="00772F00" w:rsidP="00772F00">
      <w:pPr>
        <w:contextualSpacing/>
        <w:jc w:val="both"/>
        <w:rPr>
          <w:b/>
          <w:color w:val="000000" w:themeColor="text1"/>
        </w:rPr>
      </w:pPr>
    </w:p>
    <w:p w14:paraId="63698061" w14:textId="77777777" w:rsidR="00772F00" w:rsidRDefault="00772F00" w:rsidP="00772F0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16F02FF" w14:textId="77777777" w:rsidR="00772F00" w:rsidRDefault="00772F00" w:rsidP="00772F00">
      <w:pPr>
        <w:contextualSpacing/>
        <w:jc w:val="both"/>
        <w:rPr>
          <w:b/>
          <w:color w:val="000000" w:themeColor="text1"/>
        </w:rPr>
      </w:pPr>
    </w:p>
    <w:p w14:paraId="7AD2D0D7" w14:textId="77777777" w:rsidR="00772F00" w:rsidRDefault="00772F00" w:rsidP="00772F0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04A2D101" w14:textId="77777777" w:rsidR="00772F00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7538C171" w14:textId="77777777" w:rsidR="00772F00" w:rsidRDefault="00772F00" w:rsidP="00772F00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1D620117" w14:textId="77777777" w:rsidR="00772F00" w:rsidRDefault="00772F00" w:rsidP="00772F00">
      <w:pPr>
        <w:ind w:firstLine="709"/>
        <w:contextualSpacing/>
        <w:jc w:val="both"/>
      </w:pPr>
    </w:p>
    <w:p w14:paraId="53D09EB4" w14:textId="77777777" w:rsidR="00772F00" w:rsidRDefault="00772F00" w:rsidP="00772F00">
      <w:pPr>
        <w:ind w:firstLine="709"/>
        <w:contextualSpacing/>
        <w:jc w:val="both"/>
      </w:pPr>
      <w:r>
        <w:t>Вскрытие конверта хозяйствующего субъекта №1 ГУП «</w:t>
      </w:r>
      <w:proofErr w:type="spellStart"/>
      <w:r>
        <w:t>Лекфарм</w:t>
      </w:r>
      <w:proofErr w:type="spellEnd"/>
      <w:r>
        <w:t>»;</w:t>
      </w:r>
    </w:p>
    <w:p w14:paraId="056546F2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95F6671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BE9BD30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10BC6DC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BD8B977" w14:textId="77777777" w:rsidR="00772F00" w:rsidRDefault="00772F00" w:rsidP="00772F00">
      <w:pPr>
        <w:ind w:firstLine="709"/>
        <w:contextualSpacing/>
        <w:jc w:val="both"/>
      </w:pPr>
    </w:p>
    <w:p w14:paraId="544FF860" w14:textId="77777777" w:rsidR="00772F00" w:rsidRDefault="00772F00" w:rsidP="00772F00">
      <w:pPr>
        <w:ind w:firstLine="709"/>
        <w:contextualSpacing/>
        <w:jc w:val="both"/>
      </w:pPr>
      <w:r>
        <w:lastRenderedPageBreak/>
        <w:t>Вскрытие конверта хозяйствующего субъекта №2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»;</w:t>
      </w:r>
    </w:p>
    <w:p w14:paraId="1AF8552B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Провизор</w:t>
      </w:r>
      <w:proofErr w:type="gramStart"/>
      <w:r>
        <w:rPr>
          <w:bCs/>
        </w:rPr>
        <w:t>.</w:t>
      </w:r>
      <w:proofErr w:type="gramEnd"/>
      <w:r>
        <w:rPr>
          <w:bCs/>
        </w:rPr>
        <w:t>ком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3E80160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689A6E7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9D4BC64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14C2550" w14:textId="77777777" w:rsidR="00772F00" w:rsidRDefault="00772F00" w:rsidP="00772F00">
      <w:pPr>
        <w:ind w:firstLine="709"/>
        <w:contextualSpacing/>
        <w:jc w:val="both"/>
      </w:pPr>
    </w:p>
    <w:p w14:paraId="714057DC" w14:textId="77777777" w:rsidR="00772F00" w:rsidRDefault="00772F00" w:rsidP="00772F00">
      <w:pPr>
        <w:ind w:firstLine="709"/>
        <w:contextualSpacing/>
        <w:jc w:val="both"/>
      </w:pPr>
      <w:r>
        <w:t>Вскрытие конверта хозяйствующего субъекта №3</w:t>
      </w:r>
      <w:r w:rsidRPr="00794BA6">
        <w:t xml:space="preserve"> </w:t>
      </w:r>
      <w:r>
        <w:t>С</w:t>
      </w:r>
      <w:r w:rsidRPr="00794BA6">
        <w:t>ООО «</w:t>
      </w:r>
      <w:r>
        <w:t>Адонис</w:t>
      </w:r>
      <w:r w:rsidRPr="00794BA6">
        <w:t>»;</w:t>
      </w:r>
    </w:p>
    <w:p w14:paraId="4C777F0B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СООО «Адонис»</w:t>
      </w:r>
      <w:r w:rsidRPr="00A600B6">
        <w:rPr>
          <w:bCs/>
        </w:rPr>
        <w:t>?</w:t>
      </w:r>
    </w:p>
    <w:p w14:paraId="1F51A709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A81B62D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D368EC5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1102523" w14:textId="77777777" w:rsidR="00772F00" w:rsidRDefault="00772F00" w:rsidP="00772F00">
      <w:pPr>
        <w:ind w:firstLine="709"/>
        <w:contextualSpacing/>
        <w:jc w:val="both"/>
      </w:pPr>
    </w:p>
    <w:p w14:paraId="536D7612" w14:textId="77777777" w:rsidR="00772F00" w:rsidRDefault="00772F00" w:rsidP="00772F00">
      <w:pPr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Вивафарм</w:t>
      </w:r>
      <w:proofErr w:type="spellEnd"/>
      <w:r>
        <w:t>»;</w:t>
      </w:r>
    </w:p>
    <w:p w14:paraId="29577FE2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Вивафарм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CD1D7CC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95066A8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C7F01B0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F70A1CB" w14:textId="77777777" w:rsidR="00772F00" w:rsidRDefault="00772F00" w:rsidP="00772F00">
      <w:pPr>
        <w:ind w:firstLine="709"/>
        <w:contextualSpacing/>
        <w:jc w:val="both"/>
      </w:pPr>
    </w:p>
    <w:p w14:paraId="6EFBAEF4" w14:textId="77777777" w:rsidR="00772F00" w:rsidRDefault="00772F00" w:rsidP="00772F00">
      <w:pPr>
        <w:ind w:firstLine="709"/>
        <w:contextualSpacing/>
        <w:jc w:val="both"/>
      </w:pPr>
      <w:r>
        <w:t>Вскрытие конверта хозяйствующего субъекта №5 ООО «</w:t>
      </w:r>
      <w:proofErr w:type="spellStart"/>
      <w:r>
        <w:t>Медфарм</w:t>
      </w:r>
      <w:proofErr w:type="spellEnd"/>
      <w:r>
        <w:t>».</w:t>
      </w:r>
    </w:p>
    <w:p w14:paraId="4873A80C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802B34C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AA52368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C4C1A7B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EA0C862" w14:textId="77777777" w:rsidR="00772F00" w:rsidRDefault="00772F00" w:rsidP="00772F00">
      <w:pPr>
        <w:ind w:firstLine="709"/>
        <w:contextualSpacing/>
        <w:jc w:val="both"/>
      </w:pPr>
    </w:p>
    <w:p w14:paraId="3934406D" w14:textId="77777777" w:rsidR="00772F00" w:rsidRDefault="00772F00" w:rsidP="00772F00">
      <w:pPr>
        <w:ind w:firstLine="709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Валеандр</w:t>
      </w:r>
      <w:proofErr w:type="spellEnd"/>
      <w:r>
        <w:t>»;</w:t>
      </w:r>
    </w:p>
    <w:p w14:paraId="249873DC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7A185BC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A94235C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1D64C1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2AEFBE9" w14:textId="77777777" w:rsidR="00772F00" w:rsidRDefault="00772F00" w:rsidP="00772F00">
      <w:pPr>
        <w:ind w:firstLine="709"/>
        <w:contextualSpacing/>
        <w:jc w:val="both"/>
      </w:pPr>
    </w:p>
    <w:p w14:paraId="0E02CB2D" w14:textId="77777777" w:rsidR="00772F00" w:rsidRDefault="00772F00" w:rsidP="00772F00">
      <w:pPr>
        <w:ind w:firstLine="709"/>
        <w:contextualSpacing/>
        <w:jc w:val="both"/>
      </w:pPr>
      <w:r>
        <w:t>Вскрытие конверта хозяйствующего субъекта №7 ООО «Ремедиум»;</w:t>
      </w:r>
    </w:p>
    <w:p w14:paraId="1C3941AC" w14:textId="77777777" w:rsidR="00772F00" w:rsidRDefault="00772F00" w:rsidP="00772F0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5B99303F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EDCD165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859CC16" w14:textId="77777777" w:rsidR="00772F00" w:rsidRDefault="00772F00" w:rsidP="00772F0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7F72AE7" w14:textId="77777777" w:rsidR="00772F00" w:rsidRDefault="00772F00" w:rsidP="00772F00">
      <w:pPr>
        <w:ind w:firstLine="709"/>
        <w:jc w:val="both"/>
        <w:rPr>
          <w:bCs/>
        </w:rPr>
      </w:pPr>
    </w:p>
    <w:p w14:paraId="7035C19F" w14:textId="77777777" w:rsidR="00772F00" w:rsidRDefault="00772F00" w:rsidP="00772F00">
      <w:pPr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5951EB91" w14:textId="77777777" w:rsidR="00772F00" w:rsidRPr="00CC122D" w:rsidRDefault="00772F00" w:rsidP="00772F00">
      <w:pPr>
        <w:ind w:firstLine="567"/>
        <w:jc w:val="both"/>
      </w:pPr>
    </w:p>
    <w:p w14:paraId="36C70ECA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ГУП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0D8F318E" w14:textId="77777777" w:rsidR="00772F00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будет осуществляется в течение 30 рабочих дней с момента получения предоплаты</w:t>
      </w:r>
      <w:r w:rsidRPr="00422E7D">
        <w:rPr>
          <w:bCs/>
          <w:color w:val="000000"/>
        </w:rPr>
        <w:t>.</w:t>
      </w:r>
    </w:p>
    <w:p w14:paraId="496CC3B7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ГУП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C9D26FC" w14:textId="77777777" w:rsidR="00772F00" w:rsidRPr="00422E7D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63ED73C7" w14:textId="77777777" w:rsidR="00772F00" w:rsidRDefault="00772F00" w:rsidP="00772F00">
      <w:pPr>
        <w:ind w:firstLine="709"/>
        <w:jc w:val="both"/>
        <w:rPr>
          <w:bCs/>
        </w:rPr>
      </w:pPr>
    </w:p>
    <w:p w14:paraId="277F783B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6034283A" w14:textId="77777777" w:rsidR="00772F00" w:rsidRPr="00422E7D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4BF82D22" w14:textId="77777777" w:rsidR="00772F00" w:rsidRDefault="00772F00" w:rsidP="00772F00">
      <w:pPr>
        <w:ind w:firstLine="709"/>
        <w:jc w:val="both"/>
        <w:rPr>
          <w:bCs/>
        </w:rPr>
      </w:pPr>
    </w:p>
    <w:p w14:paraId="0AE8590E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 xml:space="preserve">СООО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Адонис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0EAD308D" w14:textId="77777777" w:rsidR="00772F00" w:rsidRPr="00422E7D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СООО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Адонис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252C491F" w14:textId="77777777" w:rsidR="00772F00" w:rsidRDefault="00772F00" w:rsidP="00772F00">
      <w:pPr>
        <w:ind w:firstLine="709"/>
        <w:jc w:val="both"/>
        <w:rPr>
          <w:bCs/>
        </w:rPr>
      </w:pPr>
    </w:p>
    <w:p w14:paraId="2EFDF112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Вивафарм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5F160BF7" w14:textId="77777777" w:rsidR="00772F00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Вивафарм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остальные 50% в течение 30 рабочих дней после осуществления поставки</w:t>
      </w:r>
      <w:r w:rsidRPr="00422E7D">
        <w:rPr>
          <w:bCs/>
          <w:color w:val="000000"/>
        </w:rPr>
        <w:t>.</w:t>
      </w:r>
    </w:p>
    <w:p w14:paraId="6BD5E70F" w14:textId="77777777" w:rsidR="00772F00" w:rsidRDefault="00772F00" w:rsidP="00772F00">
      <w:pPr>
        <w:ind w:firstLine="709"/>
        <w:jc w:val="both"/>
        <w:rPr>
          <w:bCs/>
        </w:rPr>
      </w:pPr>
    </w:p>
    <w:p w14:paraId="080E0C9C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1E066E5A" w14:textId="77777777" w:rsidR="00772F00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будет осуществляется в течение 30-50 рабочих дней с момента получения предоплаты</w:t>
      </w:r>
      <w:r w:rsidRPr="00422E7D">
        <w:rPr>
          <w:bCs/>
          <w:color w:val="000000"/>
        </w:rPr>
        <w:t>.</w:t>
      </w:r>
    </w:p>
    <w:p w14:paraId="77C43694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D6EBB56" w14:textId="77777777" w:rsidR="00772F00" w:rsidRPr="00422E7D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5C15978D" w14:textId="77777777" w:rsidR="00772F00" w:rsidRDefault="00772F00" w:rsidP="00772F00">
      <w:pPr>
        <w:ind w:firstLine="709"/>
        <w:jc w:val="both"/>
        <w:rPr>
          <w:bCs/>
        </w:rPr>
      </w:pPr>
    </w:p>
    <w:p w14:paraId="4363D6BC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 xml:space="preserve">исполнительному директору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6831D451" w14:textId="77777777" w:rsidR="00772F00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остальные 50% в течение 30 календарных дней после осуществления поставки</w:t>
      </w:r>
      <w:r w:rsidRPr="00422E7D">
        <w:rPr>
          <w:bCs/>
          <w:color w:val="000000"/>
        </w:rPr>
        <w:t>.</w:t>
      </w:r>
    </w:p>
    <w:p w14:paraId="5AAB2873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733BBBBC" w14:textId="77777777" w:rsidR="00772F00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будет осуществляется в течение 40 рабочих дней с момента получения предоплаты</w:t>
      </w:r>
      <w:r w:rsidRPr="00422E7D">
        <w:rPr>
          <w:bCs/>
          <w:color w:val="000000"/>
        </w:rPr>
        <w:t>.</w:t>
      </w:r>
    </w:p>
    <w:p w14:paraId="559E1415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8F59F5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C753BFA" w14:textId="77777777" w:rsidR="00772F00" w:rsidRDefault="00772F00" w:rsidP="00772F00">
      <w:pPr>
        <w:ind w:firstLine="709"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F59F5">
        <w:rPr>
          <w:bCs/>
          <w:color w:val="000000"/>
        </w:rPr>
        <w:t>Нет</w:t>
      </w:r>
      <w:proofErr w:type="gramEnd"/>
      <w:r w:rsidRPr="008F59F5">
        <w:rPr>
          <w:bCs/>
          <w:color w:val="000000"/>
        </w:rPr>
        <w:t>, 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>
        <w:rPr>
          <w:bCs/>
          <w:color w:val="000000"/>
        </w:rPr>
        <w:t>.</w:t>
      </w:r>
    </w:p>
    <w:p w14:paraId="288AB133" w14:textId="77777777" w:rsidR="00772F00" w:rsidRDefault="00772F00" w:rsidP="00772F00">
      <w:pPr>
        <w:ind w:firstLine="709"/>
        <w:jc w:val="both"/>
        <w:rPr>
          <w:bCs/>
          <w:color w:val="000000"/>
        </w:rPr>
      </w:pPr>
    </w:p>
    <w:p w14:paraId="6BBCC106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345F8AB" w14:textId="77777777" w:rsidR="00772F00" w:rsidRDefault="00772F00" w:rsidP="00772F00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будет осуществляется в течение 60 календарных дней с момента получения предоплаты</w:t>
      </w:r>
      <w:r w:rsidRPr="00422E7D">
        <w:rPr>
          <w:bCs/>
          <w:color w:val="000000"/>
        </w:rPr>
        <w:t>.</w:t>
      </w:r>
    </w:p>
    <w:p w14:paraId="6E618AC4" w14:textId="77777777" w:rsidR="00772F00" w:rsidRPr="00360FBE" w:rsidRDefault="00772F00" w:rsidP="00772F00">
      <w:pPr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BB05F1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F156875" w14:textId="77777777" w:rsidR="00772F00" w:rsidRDefault="00772F00" w:rsidP="00772F00">
      <w:pPr>
        <w:ind w:firstLine="709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F81BB1">
        <w:rPr>
          <w:bCs/>
          <w:color w:val="000000"/>
        </w:rPr>
        <w:t>Нет, В соответствии с норма</w:t>
      </w:r>
      <w:r>
        <w:rPr>
          <w:bCs/>
          <w:color w:val="000000"/>
        </w:rPr>
        <w:t>ми</w:t>
      </w:r>
      <w:r w:rsidRPr="00F81BB1">
        <w:rPr>
          <w:bCs/>
          <w:color w:val="000000"/>
        </w:rPr>
        <w:t xml:space="preserve"> ст</w:t>
      </w:r>
      <w:r>
        <w:rPr>
          <w:bCs/>
          <w:color w:val="000000"/>
        </w:rPr>
        <w:t>ат.</w:t>
      </w:r>
      <w:r w:rsidRPr="00F81BB1">
        <w:rPr>
          <w:bCs/>
          <w:color w:val="000000"/>
        </w:rPr>
        <w:t xml:space="preserve"> 468 Гражданского кодекса ПМР в случае существенного изменения обстоятельств после проведения тендера ,из которых стороны исходили при заключении договора,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когда обстоятельства изменились настолько ,что если бы стороны могли это разумно предвидеть,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то договор был бы заключен на значительно отличающихся условиях (изменением курса валют более чем на 10 процентов,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снятием препарата с производства ,наличием товара у других производителей,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изменением предложения тендерных позиций на внешнем фармацевтическом рынке и др. обстоятельств),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возможно изменение соответствующих условий договора исходя из изменившихся обстоятельств.</w:t>
      </w:r>
    </w:p>
    <w:p w14:paraId="63550FAB" w14:textId="77777777" w:rsidR="00772F00" w:rsidRDefault="00772F00" w:rsidP="00772F00">
      <w:pPr>
        <w:ind w:firstLine="709"/>
        <w:jc w:val="both"/>
        <w:rPr>
          <w:bCs/>
          <w:color w:val="000000"/>
        </w:rPr>
      </w:pPr>
    </w:p>
    <w:p w14:paraId="5146F1AE" w14:textId="77777777" w:rsidR="00772F00" w:rsidRPr="00F30EB0" w:rsidRDefault="00772F00" w:rsidP="00772F00">
      <w:pPr>
        <w:tabs>
          <w:tab w:val="left" w:pos="720"/>
        </w:tabs>
        <w:contextualSpacing/>
        <w:jc w:val="center"/>
        <w:rPr>
          <w:b/>
        </w:rPr>
      </w:pPr>
      <w:bookmarkStart w:id="0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29B282E5" w14:textId="77777777" w:rsidR="00772F00" w:rsidRDefault="00772F00" w:rsidP="00772F00">
      <w:pPr>
        <w:ind w:firstLine="709"/>
        <w:contextualSpacing/>
        <w:jc w:val="both"/>
        <w:rPr>
          <w:b/>
          <w:bCs/>
        </w:rPr>
      </w:pPr>
    </w:p>
    <w:p w14:paraId="40544722" w14:textId="77777777" w:rsidR="00772F00" w:rsidRDefault="00772F00" w:rsidP="00772F0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bookmarkEnd w:id="0"/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C39C92D" w14:textId="77777777" w:rsidR="00772F00" w:rsidRDefault="00772F00" w:rsidP="00772F00">
      <w:pPr>
        <w:ind w:firstLine="709"/>
        <w:contextualSpacing/>
        <w:jc w:val="both"/>
        <w:rPr>
          <w:b/>
          <w:bCs/>
        </w:rPr>
      </w:pPr>
    </w:p>
    <w:p w14:paraId="4FE7BDC8" w14:textId="77777777" w:rsidR="00772F00" w:rsidRDefault="00772F00" w:rsidP="00772F0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8687402" w14:textId="77777777" w:rsidR="00772F00" w:rsidRDefault="00772F00" w:rsidP="00772F00">
      <w:pPr>
        <w:ind w:firstLine="567"/>
        <w:jc w:val="both"/>
        <w:rPr>
          <w:i/>
          <w:iCs/>
        </w:rPr>
      </w:pPr>
      <w:bookmarkStart w:id="1" w:name="_Hlk57192438"/>
      <w:r w:rsidRPr="00BD6EA2">
        <w:rPr>
          <w:i/>
          <w:iCs/>
        </w:rPr>
        <w:t>Голосовали:</w:t>
      </w:r>
    </w:p>
    <w:p w14:paraId="2A3715BE" w14:textId="77777777" w:rsidR="00772F00" w:rsidRDefault="00772F00" w:rsidP="00772F0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(</w:t>
      </w:r>
      <w:r>
        <w:rPr>
          <w:i/>
          <w:iCs/>
        </w:rPr>
        <w:t>восемь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1E49E986" w14:textId="77777777" w:rsidR="00772F00" w:rsidRPr="0096442D" w:rsidRDefault="00772F00" w:rsidP="00772F0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49088CF" w14:textId="77777777" w:rsidR="00772F00" w:rsidRDefault="00772F00" w:rsidP="00772F0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7DD197C" w14:textId="77777777" w:rsidR="00772F00" w:rsidRDefault="00772F00" w:rsidP="00772F00">
      <w:pPr>
        <w:ind w:firstLine="709"/>
        <w:contextualSpacing/>
        <w:jc w:val="both"/>
        <w:rPr>
          <w:bCs/>
          <w:i/>
          <w:iCs/>
        </w:rPr>
      </w:pPr>
    </w:p>
    <w:bookmarkEnd w:id="1"/>
    <w:p w14:paraId="48276AEF" w14:textId="77777777" w:rsidR="00772F00" w:rsidRPr="00523208" w:rsidRDefault="00772F00" w:rsidP="00772F00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Снижение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24792B7E" w14:textId="77777777" w:rsidR="00772F00" w:rsidRDefault="00772F00" w:rsidP="00772F00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7864C60" w14:textId="77777777" w:rsidR="00772F00" w:rsidRDefault="00772F00" w:rsidP="00772F00">
      <w:pPr>
        <w:ind w:firstLine="709"/>
        <w:jc w:val="both"/>
        <w:rPr>
          <w:bCs/>
        </w:rPr>
      </w:pPr>
    </w:p>
    <w:p w14:paraId="562CE347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I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уровня цен представленных заявок на участие в тендере фирм-поставщиков исключить из рассмотрения</w:t>
      </w:r>
      <w:r>
        <w:t xml:space="preserve"> во втором этапе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следующих хозяйствующих субъектов:</w:t>
      </w:r>
    </w:p>
    <w:p w14:paraId="131803EC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44A0AB93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B5B222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12399BC4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47197C21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37BBD43B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3BC9B7E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E4394E" w14:paraId="1C914A7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2E30902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3ADD6D11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</w:t>
            </w:r>
            <w:r w:rsidRPr="00E4394E">
              <w:rPr>
                <w:sz w:val="20"/>
                <w:szCs w:val="20"/>
              </w:rPr>
              <w:t>ента</w:t>
            </w:r>
            <w:proofErr w:type="spellEnd"/>
            <w:r w:rsidRPr="00E4394E">
              <w:rPr>
                <w:sz w:val="20"/>
                <w:szCs w:val="20"/>
              </w:rPr>
              <w:t xml:space="preserve"> </w:t>
            </w:r>
            <w:proofErr w:type="spellStart"/>
            <w:r w:rsidRPr="00E4394E">
              <w:rPr>
                <w:sz w:val="20"/>
                <w:szCs w:val="20"/>
              </w:rPr>
              <w:t>Ромфарм</w:t>
            </w:r>
            <w:proofErr w:type="spellEnd"/>
            <w:r w:rsidRPr="00E4394E">
              <w:rPr>
                <w:sz w:val="20"/>
                <w:szCs w:val="20"/>
              </w:rPr>
              <w:t xml:space="preserve"> </w:t>
            </w:r>
            <w:proofErr w:type="spellStart"/>
            <w:r w:rsidRPr="00E4394E">
              <w:rPr>
                <w:sz w:val="20"/>
                <w:szCs w:val="20"/>
              </w:rPr>
              <w:t>лиофил</w:t>
            </w:r>
            <w:proofErr w:type="spellEnd"/>
            <w:r w:rsidRPr="00E4394E">
              <w:rPr>
                <w:sz w:val="20"/>
                <w:szCs w:val="20"/>
              </w:rPr>
              <w:t xml:space="preserve"> д/</w:t>
            </w:r>
            <w:proofErr w:type="spellStart"/>
            <w:r w:rsidRPr="00E4394E">
              <w:rPr>
                <w:sz w:val="20"/>
                <w:szCs w:val="20"/>
              </w:rPr>
              <w:t>приг</w:t>
            </w:r>
            <w:proofErr w:type="spellEnd"/>
            <w:r w:rsidRPr="00E4394E">
              <w:rPr>
                <w:sz w:val="20"/>
                <w:szCs w:val="20"/>
              </w:rPr>
              <w:t xml:space="preserve"> р-</w:t>
            </w:r>
            <w:proofErr w:type="spellStart"/>
            <w:r w:rsidRPr="00E4394E">
              <w:rPr>
                <w:sz w:val="20"/>
                <w:szCs w:val="20"/>
              </w:rPr>
              <w:t>ра</w:t>
            </w:r>
            <w:proofErr w:type="spellEnd"/>
            <w:r w:rsidRPr="00E4394E">
              <w:rPr>
                <w:sz w:val="20"/>
                <w:szCs w:val="20"/>
              </w:rPr>
              <w:t xml:space="preserve"> д/инфузий 4 мг/5мл №1</w:t>
            </w:r>
          </w:p>
        </w:tc>
        <w:tc>
          <w:tcPr>
            <w:tcW w:w="2328" w:type="dxa"/>
            <w:vAlign w:val="center"/>
          </w:tcPr>
          <w:p w14:paraId="5BADE8C2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4394E">
              <w:rPr>
                <w:sz w:val="20"/>
                <w:szCs w:val="20"/>
                <w:lang w:val="en-US"/>
              </w:rPr>
              <w:t>Rompharm</w:t>
            </w:r>
            <w:proofErr w:type="spellEnd"/>
            <w:r w:rsidRPr="00E4394E">
              <w:rPr>
                <w:sz w:val="20"/>
                <w:szCs w:val="20"/>
                <w:lang w:val="en-US"/>
              </w:rPr>
              <w:t xml:space="preserve"> Company S.R.L., </w:t>
            </w:r>
            <w:r w:rsidRPr="00E4394E">
              <w:rPr>
                <w:sz w:val="20"/>
                <w:szCs w:val="20"/>
              </w:rPr>
              <w:t>Румыния</w:t>
            </w:r>
          </w:p>
        </w:tc>
        <w:tc>
          <w:tcPr>
            <w:tcW w:w="2326" w:type="dxa"/>
            <w:vAlign w:val="center"/>
          </w:tcPr>
          <w:p w14:paraId="39C75489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4394E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4394E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E4394E">
              <w:rPr>
                <w:sz w:val="20"/>
                <w:szCs w:val="20"/>
                <w:lang w:val="en-US"/>
              </w:rPr>
              <w:t>/5мл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02E17D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4394E">
              <w:rPr>
                <w:sz w:val="20"/>
                <w:szCs w:val="20"/>
              </w:rPr>
              <w:t>100</w:t>
            </w:r>
          </w:p>
        </w:tc>
      </w:tr>
    </w:tbl>
    <w:p w14:paraId="0CE24060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lang w:val="en-US"/>
        </w:rPr>
      </w:pPr>
    </w:p>
    <w:p w14:paraId="5ECC5C7E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Медфарм</w:t>
      </w:r>
      <w:proofErr w:type="spellEnd"/>
      <w:r>
        <w:t>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755823B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10541C3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21B8B693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4640EBFC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43AA006F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BDF6CA7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E4394E" w14:paraId="16F09A0C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15E6C8F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E777E65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4394E">
              <w:rPr>
                <w:sz w:val="20"/>
                <w:szCs w:val="20"/>
              </w:rPr>
              <w:t>Золистра</w:t>
            </w:r>
            <w:proofErr w:type="spellEnd"/>
            <w:r w:rsidRPr="00E4394E">
              <w:rPr>
                <w:sz w:val="20"/>
                <w:szCs w:val="20"/>
              </w:rPr>
              <w:t xml:space="preserve"> </w:t>
            </w:r>
            <w:proofErr w:type="spellStart"/>
            <w:r w:rsidRPr="00E4394E">
              <w:rPr>
                <w:sz w:val="20"/>
                <w:szCs w:val="20"/>
              </w:rPr>
              <w:t>лиофилизат</w:t>
            </w:r>
            <w:proofErr w:type="spellEnd"/>
            <w:r w:rsidRPr="00E4394E">
              <w:rPr>
                <w:sz w:val="20"/>
                <w:szCs w:val="20"/>
              </w:rPr>
              <w:t xml:space="preserve"> для приготовления р-</w:t>
            </w:r>
            <w:proofErr w:type="spellStart"/>
            <w:r w:rsidRPr="00E4394E">
              <w:rPr>
                <w:sz w:val="20"/>
                <w:szCs w:val="20"/>
              </w:rPr>
              <w:t>ра</w:t>
            </w:r>
            <w:proofErr w:type="spellEnd"/>
            <w:r w:rsidRPr="00E4394E">
              <w:rPr>
                <w:sz w:val="20"/>
                <w:szCs w:val="20"/>
              </w:rPr>
              <w:t xml:space="preserve"> 4мг/100 мл №1</w:t>
            </w:r>
          </w:p>
        </w:tc>
        <w:tc>
          <w:tcPr>
            <w:tcW w:w="2328" w:type="dxa"/>
            <w:vAlign w:val="center"/>
          </w:tcPr>
          <w:p w14:paraId="3938B75E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4394E">
              <w:rPr>
                <w:sz w:val="20"/>
                <w:szCs w:val="20"/>
              </w:rPr>
              <w:t>CelonLab</w:t>
            </w:r>
            <w:proofErr w:type="spellEnd"/>
            <w:r w:rsidRPr="00E4394E">
              <w:rPr>
                <w:sz w:val="20"/>
                <w:szCs w:val="20"/>
              </w:rPr>
              <w:t>, Индия</w:t>
            </w:r>
          </w:p>
        </w:tc>
        <w:tc>
          <w:tcPr>
            <w:tcW w:w="2326" w:type="dxa"/>
            <w:vAlign w:val="center"/>
          </w:tcPr>
          <w:p w14:paraId="4FDF6059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4394E">
              <w:rPr>
                <w:sz w:val="20"/>
                <w:szCs w:val="20"/>
              </w:rPr>
              <w:t>флакон 4мг/5мл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800FF2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F00" w:rsidRPr="006759EA" w14:paraId="7D400E64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7527DC0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22AEFBDA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759EA">
              <w:rPr>
                <w:sz w:val="20"/>
                <w:szCs w:val="20"/>
              </w:rPr>
              <w:t>Золоник</w:t>
            </w:r>
            <w:proofErr w:type="spellEnd"/>
            <w:r w:rsidRPr="006759EA">
              <w:rPr>
                <w:sz w:val="20"/>
                <w:szCs w:val="20"/>
              </w:rPr>
              <w:t xml:space="preserve"> (</w:t>
            </w:r>
            <w:proofErr w:type="spellStart"/>
            <w:r w:rsidRPr="006759EA">
              <w:rPr>
                <w:sz w:val="20"/>
                <w:szCs w:val="20"/>
              </w:rPr>
              <w:t>Zolonic</w:t>
            </w:r>
            <w:proofErr w:type="spellEnd"/>
            <w:r w:rsidRPr="006759EA">
              <w:rPr>
                <w:sz w:val="20"/>
                <w:szCs w:val="20"/>
              </w:rPr>
              <w:t xml:space="preserve">) </w:t>
            </w:r>
            <w:proofErr w:type="spellStart"/>
            <w:r w:rsidRPr="006759EA">
              <w:rPr>
                <w:sz w:val="20"/>
                <w:szCs w:val="20"/>
              </w:rPr>
              <w:t>лиофилизат</w:t>
            </w:r>
            <w:proofErr w:type="spellEnd"/>
            <w:r w:rsidRPr="006759EA">
              <w:rPr>
                <w:sz w:val="20"/>
                <w:szCs w:val="20"/>
              </w:rPr>
              <w:t xml:space="preserve"> для приготовления р-</w:t>
            </w:r>
            <w:proofErr w:type="spellStart"/>
            <w:r w:rsidRPr="006759EA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328" w:type="dxa"/>
            <w:vAlign w:val="center"/>
          </w:tcPr>
          <w:p w14:paraId="2E00B084" w14:textId="77777777" w:rsidR="00772F00" w:rsidRPr="006759EA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6759EA">
              <w:rPr>
                <w:sz w:val="20"/>
                <w:szCs w:val="20"/>
                <w:lang w:val="en-US"/>
              </w:rPr>
              <w:t xml:space="preserve">Bruck Pharma Pvt Ltd, </w:t>
            </w:r>
            <w:r w:rsidRPr="006759EA">
              <w:rPr>
                <w:sz w:val="20"/>
                <w:szCs w:val="20"/>
              </w:rPr>
              <w:t>Индия</w:t>
            </w:r>
          </w:p>
        </w:tc>
        <w:tc>
          <w:tcPr>
            <w:tcW w:w="2326" w:type="dxa"/>
            <w:vAlign w:val="center"/>
          </w:tcPr>
          <w:p w14:paraId="6B807504" w14:textId="77777777" w:rsidR="00772F00" w:rsidRPr="006759EA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59EA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6759EA">
              <w:rPr>
                <w:sz w:val="20"/>
                <w:szCs w:val="20"/>
                <w:lang w:val="en-US"/>
              </w:rPr>
              <w:t xml:space="preserve"> 4мг/5мл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161C14" w14:textId="77777777" w:rsidR="00772F00" w:rsidRPr="006759EA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D751E72" w14:textId="77777777" w:rsidR="00772F00" w:rsidRDefault="00772F00" w:rsidP="00772F00">
      <w:pPr>
        <w:shd w:val="clear" w:color="auto" w:fill="FFFFFF"/>
        <w:ind w:firstLine="709"/>
        <w:contextualSpacing/>
        <w:jc w:val="both"/>
      </w:pPr>
    </w:p>
    <w:p w14:paraId="311DC8AB" w14:textId="77777777" w:rsidR="00772F00" w:rsidRDefault="00772F00" w:rsidP="00772F00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Валеандр</w:t>
      </w:r>
      <w:proofErr w:type="spellEnd"/>
      <w:r>
        <w:t>» по следующей позиции: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062891A6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EA80603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6EFB7C46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40DB8BC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418F39C6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EA835E6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0E0546" w14:paraId="7867C26F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D683FA8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35EEC46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E0546">
              <w:rPr>
                <w:sz w:val="20"/>
                <w:szCs w:val="20"/>
              </w:rPr>
              <w:t>Золедроновая</w:t>
            </w:r>
            <w:proofErr w:type="spellEnd"/>
            <w:r w:rsidRPr="000E0546">
              <w:rPr>
                <w:sz w:val="20"/>
                <w:szCs w:val="20"/>
              </w:rPr>
              <w:t xml:space="preserve"> кислота, </w:t>
            </w:r>
            <w:proofErr w:type="spellStart"/>
            <w:r w:rsidRPr="000E0546">
              <w:rPr>
                <w:sz w:val="20"/>
                <w:szCs w:val="20"/>
              </w:rPr>
              <w:t>конц</w:t>
            </w:r>
            <w:proofErr w:type="spellEnd"/>
            <w:r w:rsidRPr="000E0546">
              <w:rPr>
                <w:sz w:val="20"/>
                <w:szCs w:val="20"/>
              </w:rPr>
              <w:t xml:space="preserve">. для </w:t>
            </w:r>
            <w:proofErr w:type="spellStart"/>
            <w:r w:rsidRPr="000E0546">
              <w:rPr>
                <w:sz w:val="20"/>
                <w:szCs w:val="20"/>
              </w:rPr>
              <w:t>приг</w:t>
            </w:r>
            <w:proofErr w:type="spellEnd"/>
            <w:r w:rsidRPr="000E0546">
              <w:rPr>
                <w:sz w:val="20"/>
                <w:szCs w:val="20"/>
              </w:rPr>
              <w:t>. р-</w:t>
            </w:r>
            <w:proofErr w:type="spellStart"/>
            <w:r w:rsidRPr="000E0546">
              <w:rPr>
                <w:sz w:val="20"/>
                <w:szCs w:val="20"/>
              </w:rPr>
              <w:t>ра</w:t>
            </w:r>
            <w:proofErr w:type="spellEnd"/>
            <w:r w:rsidRPr="000E0546">
              <w:rPr>
                <w:sz w:val="20"/>
                <w:szCs w:val="20"/>
              </w:rPr>
              <w:t xml:space="preserve"> для инф. 4мг/5мл флакон №1</w:t>
            </w:r>
          </w:p>
        </w:tc>
        <w:tc>
          <w:tcPr>
            <w:tcW w:w="2328" w:type="dxa"/>
            <w:vAlign w:val="center"/>
          </w:tcPr>
          <w:p w14:paraId="6B9ADD8B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546">
              <w:rPr>
                <w:sz w:val="20"/>
                <w:szCs w:val="20"/>
              </w:rPr>
              <w:t>РУП "</w:t>
            </w:r>
            <w:proofErr w:type="spellStart"/>
            <w:r w:rsidRPr="000E0546">
              <w:rPr>
                <w:sz w:val="20"/>
                <w:szCs w:val="20"/>
              </w:rPr>
              <w:t>Белмедпрепараты</w:t>
            </w:r>
            <w:proofErr w:type="spellEnd"/>
            <w:r w:rsidRPr="000E0546">
              <w:rPr>
                <w:sz w:val="20"/>
                <w:szCs w:val="20"/>
              </w:rPr>
              <w:t>", Беларусь</w:t>
            </w:r>
          </w:p>
        </w:tc>
        <w:tc>
          <w:tcPr>
            <w:tcW w:w="2326" w:type="dxa"/>
            <w:vAlign w:val="center"/>
          </w:tcPr>
          <w:p w14:paraId="2F320C77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546">
              <w:rPr>
                <w:sz w:val="20"/>
                <w:szCs w:val="20"/>
              </w:rPr>
              <w:t>флакон 4мг/5мл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E150B85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3F9B035A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38DC643E" w14:textId="77777777" w:rsidR="00772F00" w:rsidRDefault="00772F00" w:rsidP="00772F00">
      <w:pPr>
        <w:ind w:firstLine="709"/>
        <w:jc w:val="both"/>
        <w:rPr>
          <w:bCs/>
        </w:rPr>
      </w:pPr>
      <w:r>
        <w:rPr>
          <w:b/>
          <w:lang w:val="en-US"/>
        </w:rPr>
        <w:t>II</w:t>
      </w:r>
      <w:r w:rsidRPr="009D6920">
        <w:rPr>
          <w:b/>
        </w:rPr>
        <w:t>.</w:t>
      </w:r>
      <w:r>
        <w:rPr>
          <w:b/>
        </w:rPr>
        <w:t xml:space="preserve"> </w:t>
      </w:r>
      <w:r w:rsidRPr="00684184">
        <w:rPr>
          <w:bCs/>
        </w:rPr>
        <w:t>Также в ходе рассмотрения сводной таблицы на приобретение лекарственных средств для проведения химио-, гормонотерапии онкологическим больным на 2021 год</w:t>
      </w:r>
      <w:r>
        <w:rPr>
          <w:bCs/>
        </w:rPr>
        <w:t>, по позиции №6 (</w:t>
      </w:r>
      <w:proofErr w:type="spellStart"/>
      <w:r w:rsidRPr="00684184">
        <w:rPr>
          <w:bCs/>
        </w:rPr>
        <w:t>Сорафениб</w:t>
      </w:r>
      <w:proofErr w:type="spellEnd"/>
      <w:r>
        <w:rPr>
          <w:bCs/>
        </w:rPr>
        <w:t>) и №7 (</w:t>
      </w:r>
      <w:proofErr w:type="spellStart"/>
      <w:r w:rsidRPr="00684184">
        <w:rPr>
          <w:bCs/>
        </w:rPr>
        <w:t>Бендамустин</w:t>
      </w:r>
      <w:proofErr w:type="spellEnd"/>
      <w:r w:rsidRPr="00684184">
        <w:rPr>
          <w:bCs/>
        </w:rPr>
        <w:t xml:space="preserve">, </w:t>
      </w:r>
      <w:proofErr w:type="spellStart"/>
      <w:r w:rsidRPr="00684184">
        <w:rPr>
          <w:bCs/>
        </w:rPr>
        <w:t>лиофилизат</w:t>
      </w:r>
      <w:proofErr w:type="spellEnd"/>
      <w:r w:rsidRPr="00684184">
        <w:rPr>
          <w:bCs/>
        </w:rPr>
        <w:t xml:space="preserve"> для приготовления концентрата для приготовления раствора для инфузий</w:t>
      </w:r>
      <w:r>
        <w:rPr>
          <w:bCs/>
        </w:rPr>
        <w:t>), хозяйствующий субъект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», предлагает не приемлемый срок годности что составляет менее 25%, в место требуемых не менее 70%.</w:t>
      </w:r>
    </w:p>
    <w:p w14:paraId="79FE8279" w14:textId="77777777" w:rsidR="00772F00" w:rsidRDefault="00772F00" w:rsidP="00772F00">
      <w:pPr>
        <w:ind w:firstLine="709"/>
        <w:jc w:val="both"/>
        <w:rPr>
          <w:bCs/>
        </w:rPr>
      </w:pPr>
      <w:r>
        <w:rPr>
          <w:bCs/>
        </w:rPr>
        <w:t>На основании вышеизложенного исключить из рассмотрения представленные позиции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 со сроком годности менее 25%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772F00" w:rsidRPr="0038191C" w14:paraId="6A5B85B2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3E06800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  <w:vAlign w:val="center"/>
          </w:tcPr>
          <w:p w14:paraId="43028E3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41668A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326" w:type="dxa"/>
            <w:vAlign w:val="center"/>
          </w:tcPr>
          <w:p w14:paraId="7AB9FA53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BC547AD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0E0546" w14:paraId="789B29B8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424F34D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896B18F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1CFA">
              <w:rPr>
                <w:sz w:val="20"/>
                <w:szCs w:val="20"/>
              </w:rPr>
              <w:t>Нексавар</w:t>
            </w:r>
            <w:proofErr w:type="spellEnd"/>
            <w:r w:rsidRPr="00BB1CFA">
              <w:rPr>
                <w:sz w:val="20"/>
                <w:szCs w:val="20"/>
              </w:rPr>
              <w:t xml:space="preserve"> (</w:t>
            </w:r>
            <w:proofErr w:type="spellStart"/>
            <w:r w:rsidRPr="00BB1CFA">
              <w:rPr>
                <w:sz w:val="20"/>
                <w:szCs w:val="20"/>
              </w:rPr>
              <w:t>Nexavar</w:t>
            </w:r>
            <w:proofErr w:type="spellEnd"/>
            <w:r w:rsidRPr="00BB1CFA">
              <w:rPr>
                <w:sz w:val="20"/>
                <w:szCs w:val="20"/>
              </w:rPr>
              <w:t>) 200 мг табл. №112</w:t>
            </w:r>
          </w:p>
        </w:tc>
        <w:tc>
          <w:tcPr>
            <w:tcW w:w="2328" w:type="dxa"/>
            <w:vAlign w:val="center"/>
          </w:tcPr>
          <w:p w14:paraId="38267399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1CFA">
              <w:rPr>
                <w:sz w:val="20"/>
                <w:szCs w:val="20"/>
              </w:rPr>
              <w:t>BayerAG</w:t>
            </w:r>
            <w:proofErr w:type="spellEnd"/>
            <w:r w:rsidRPr="00BB1C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B1CFA">
              <w:rPr>
                <w:sz w:val="20"/>
                <w:szCs w:val="20"/>
              </w:rPr>
              <w:t>Germany</w:t>
            </w:r>
            <w:proofErr w:type="spellEnd"/>
            <w:r w:rsidRPr="00BB1CFA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  <w:vAlign w:val="center"/>
          </w:tcPr>
          <w:p w14:paraId="362D7459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таблетка 200 мг №112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8D543EA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25(срок годности 05.2022)</w:t>
            </w:r>
          </w:p>
        </w:tc>
      </w:tr>
      <w:tr w:rsidR="00772F00" w:rsidRPr="000E0546" w14:paraId="6D6C64E7" w14:textId="77777777" w:rsidTr="00047A4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39C5D25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50AE4475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1CFA">
              <w:rPr>
                <w:sz w:val="20"/>
                <w:szCs w:val="20"/>
              </w:rPr>
              <w:t>Рибомустин</w:t>
            </w:r>
            <w:proofErr w:type="spellEnd"/>
            <w:r w:rsidRPr="00BB1CFA">
              <w:rPr>
                <w:sz w:val="20"/>
                <w:szCs w:val="20"/>
              </w:rPr>
              <w:t xml:space="preserve"> (</w:t>
            </w:r>
            <w:proofErr w:type="spellStart"/>
            <w:r w:rsidRPr="00BB1CFA">
              <w:rPr>
                <w:sz w:val="20"/>
                <w:szCs w:val="20"/>
              </w:rPr>
              <w:t>Ribomustin</w:t>
            </w:r>
            <w:proofErr w:type="spellEnd"/>
            <w:r w:rsidRPr="00BB1CFA">
              <w:rPr>
                <w:sz w:val="20"/>
                <w:szCs w:val="20"/>
              </w:rPr>
              <w:t>) порошок для приготовления концентрата для приготовления раствора для инфузий по 100мг</w:t>
            </w:r>
          </w:p>
        </w:tc>
        <w:tc>
          <w:tcPr>
            <w:tcW w:w="2328" w:type="dxa"/>
            <w:vAlign w:val="center"/>
          </w:tcPr>
          <w:p w14:paraId="48852B9F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B1CFA">
              <w:rPr>
                <w:sz w:val="20"/>
                <w:szCs w:val="20"/>
              </w:rPr>
              <w:t>AstellasPharmaНидерланды</w:t>
            </w:r>
            <w:proofErr w:type="spellEnd"/>
          </w:p>
        </w:tc>
        <w:tc>
          <w:tcPr>
            <w:tcW w:w="2326" w:type="dxa"/>
            <w:vAlign w:val="center"/>
          </w:tcPr>
          <w:p w14:paraId="37E75AEA" w14:textId="77777777" w:rsidR="00772F00" w:rsidRPr="000E0546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флакон 100мг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19788EB" w14:textId="77777777" w:rsidR="00772F00" w:rsidRPr="00E4394E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B1CFA">
              <w:rPr>
                <w:sz w:val="20"/>
                <w:szCs w:val="20"/>
              </w:rPr>
              <w:t>120 (срок годности 09.2022)</w:t>
            </w:r>
          </w:p>
        </w:tc>
      </w:tr>
    </w:tbl>
    <w:p w14:paraId="7267E155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163C7DFB" w14:textId="77777777" w:rsidR="00772F00" w:rsidRDefault="00772F00" w:rsidP="00772F00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</w:t>
      </w:r>
      <w:r>
        <w:t>хозяйствующих субъектов: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Провизор.ком</w:t>
      </w:r>
      <w:proofErr w:type="spellEnd"/>
      <w:r>
        <w:t xml:space="preserve">», СООО «Адонис», </w:t>
      </w:r>
      <w:r>
        <w:br/>
        <w:t>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», ООО «Ремедиум».</w:t>
      </w:r>
    </w:p>
    <w:p w14:paraId="29B9C2A7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566D4A8C" w14:textId="77777777" w:rsidR="00772F00" w:rsidRPr="00C158DF" w:rsidRDefault="00772F00" w:rsidP="00772F00">
      <w:pPr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39D1BA72" w14:textId="77777777" w:rsidR="00772F00" w:rsidRDefault="00772F00" w:rsidP="00772F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Морозовой А.А</w:t>
      </w:r>
      <w:r w:rsidRPr="00C158DF">
        <w:t>.;</w:t>
      </w:r>
    </w:p>
    <w:p w14:paraId="3DEA7C3C" w14:textId="72774491" w:rsidR="00772F00" w:rsidRDefault="00772F00" w:rsidP="00772F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 xml:space="preserve">лекарственных средств для проведения химио-, гормонотерапии онкологическим больным на 2021 </w:t>
      </w:r>
      <w:r>
        <w:rPr>
          <w:bCs/>
        </w:rPr>
        <w:t>год: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268"/>
        <w:gridCol w:w="2126"/>
        <w:gridCol w:w="1276"/>
      </w:tblGrid>
      <w:tr w:rsidR="00772F00" w:rsidRPr="00C35BAF" w14:paraId="0A6C7FB6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7ACD4F3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6C724F3B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78568C48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2B509E1E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EB76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C35BAF" w14:paraId="0C866B02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F6C230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7288F9C4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7805">
              <w:rPr>
                <w:sz w:val="20"/>
                <w:szCs w:val="20"/>
              </w:rPr>
              <w:t>Трамадол</w:t>
            </w:r>
            <w:proofErr w:type="spellEnd"/>
            <w:r w:rsidRPr="000D7805">
              <w:rPr>
                <w:sz w:val="20"/>
                <w:szCs w:val="20"/>
              </w:rPr>
              <w:t xml:space="preserve"> 50 мг капс. №20</w:t>
            </w:r>
          </w:p>
        </w:tc>
        <w:tc>
          <w:tcPr>
            <w:tcW w:w="2268" w:type="dxa"/>
            <w:vAlign w:val="center"/>
          </w:tcPr>
          <w:p w14:paraId="0BE2CAD1" w14:textId="77777777" w:rsidR="00772F00" w:rsidRPr="00FE23C5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7805">
              <w:rPr>
                <w:sz w:val="20"/>
                <w:szCs w:val="20"/>
                <w:lang w:val="en-US"/>
              </w:rPr>
              <w:t xml:space="preserve">KRKA </w:t>
            </w:r>
            <w:proofErr w:type="spellStart"/>
            <w:r w:rsidRPr="000D7805">
              <w:rPr>
                <w:sz w:val="20"/>
                <w:szCs w:val="20"/>
                <w:lang w:val="en-US"/>
              </w:rPr>
              <w:t>d.d</w:t>
            </w:r>
            <w:proofErr w:type="spellEnd"/>
            <w:r w:rsidRPr="000D7805">
              <w:rPr>
                <w:sz w:val="20"/>
                <w:szCs w:val="20"/>
                <w:lang w:val="en-US"/>
              </w:rPr>
              <w:t xml:space="preserve">, Novo mesto; </w:t>
            </w:r>
            <w:r w:rsidRPr="000D7805">
              <w:rPr>
                <w:sz w:val="20"/>
                <w:szCs w:val="20"/>
              </w:rPr>
              <w:t>СЛОВЕНИЯ</w:t>
            </w:r>
          </w:p>
        </w:tc>
        <w:tc>
          <w:tcPr>
            <w:tcW w:w="2126" w:type="dxa"/>
            <w:vAlign w:val="center"/>
          </w:tcPr>
          <w:p w14:paraId="168B7C16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D7805">
              <w:rPr>
                <w:sz w:val="20"/>
                <w:szCs w:val="20"/>
                <w:lang w:val="en-US"/>
              </w:rPr>
              <w:t>Капс.50 мг№20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40866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72F00" w:rsidRPr="00C35BAF" w14:paraId="3116C0AC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C3DE3B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14:paraId="4431413E" w14:textId="77777777" w:rsidR="00772F00" w:rsidRPr="001E64B9" w:rsidRDefault="00772F00" w:rsidP="00047A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7805">
              <w:rPr>
                <w:sz w:val="20"/>
                <w:szCs w:val="20"/>
              </w:rPr>
              <w:t>Золендровиста</w:t>
            </w:r>
            <w:proofErr w:type="spellEnd"/>
            <w:r w:rsidRPr="000D7805">
              <w:rPr>
                <w:sz w:val="20"/>
                <w:szCs w:val="20"/>
              </w:rPr>
              <w:t>, концентрат для раствора для инфузий 4мг/5мл, по 5мл во флаконе</w:t>
            </w:r>
          </w:p>
        </w:tc>
        <w:tc>
          <w:tcPr>
            <w:tcW w:w="2268" w:type="dxa"/>
            <w:vAlign w:val="center"/>
          </w:tcPr>
          <w:p w14:paraId="30A0D020" w14:textId="77777777" w:rsidR="00772F00" w:rsidRPr="00FE23C5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D7805">
              <w:rPr>
                <w:sz w:val="20"/>
                <w:szCs w:val="20"/>
              </w:rPr>
              <w:t>Синтон</w:t>
            </w:r>
            <w:proofErr w:type="spellEnd"/>
            <w:r w:rsidRPr="000D7805">
              <w:rPr>
                <w:sz w:val="20"/>
                <w:szCs w:val="20"/>
              </w:rPr>
              <w:t xml:space="preserve"> </w:t>
            </w:r>
            <w:proofErr w:type="spellStart"/>
            <w:r w:rsidRPr="000D7805">
              <w:rPr>
                <w:sz w:val="20"/>
                <w:szCs w:val="20"/>
              </w:rPr>
              <w:t>Хиспания</w:t>
            </w:r>
            <w:proofErr w:type="spellEnd"/>
            <w:r w:rsidRPr="000D7805">
              <w:rPr>
                <w:sz w:val="20"/>
                <w:szCs w:val="20"/>
              </w:rPr>
              <w:t>, С.Л., Испания</w:t>
            </w:r>
          </w:p>
        </w:tc>
        <w:tc>
          <w:tcPr>
            <w:tcW w:w="2126" w:type="dxa"/>
            <w:vAlign w:val="center"/>
          </w:tcPr>
          <w:p w14:paraId="245D24FB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7805">
              <w:rPr>
                <w:sz w:val="20"/>
                <w:szCs w:val="20"/>
              </w:rPr>
              <w:t>Флакон 4мг/5мл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0845B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772F00" w:rsidRPr="00C35BAF" w14:paraId="29EC4432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EA58C1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14:paraId="495BCEE3" w14:textId="77777777" w:rsidR="00772F00" w:rsidRPr="001E64B9" w:rsidRDefault="00772F00" w:rsidP="00047A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7805">
              <w:rPr>
                <w:sz w:val="20"/>
                <w:szCs w:val="20"/>
              </w:rPr>
              <w:t>Бевацирел</w:t>
            </w:r>
            <w:proofErr w:type="spellEnd"/>
            <w:r w:rsidRPr="000D7805">
              <w:rPr>
                <w:sz w:val="20"/>
                <w:szCs w:val="20"/>
              </w:rPr>
              <w:t xml:space="preserve"> (</w:t>
            </w:r>
            <w:proofErr w:type="spellStart"/>
            <w:r w:rsidRPr="000D7805">
              <w:rPr>
                <w:sz w:val="20"/>
                <w:szCs w:val="20"/>
              </w:rPr>
              <w:t>BevaciRel</w:t>
            </w:r>
            <w:proofErr w:type="spellEnd"/>
            <w:r w:rsidRPr="000D7805">
              <w:rPr>
                <w:sz w:val="20"/>
                <w:szCs w:val="20"/>
              </w:rPr>
              <w:t>) концентрат для приготовления р-</w:t>
            </w:r>
            <w:proofErr w:type="spellStart"/>
            <w:r w:rsidRPr="000D7805">
              <w:rPr>
                <w:sz w:val="20"/>
                <w:szCs w:val="20"/>
              </w:rPr>
              <w:t>ра</w:t>
            </w:r>
            <w:proofErr w:type="spellEnd"/>
            <w:r w:rsidRPr="000D7805">
              <w:rPr>
                <w:sz w:val="20"/>
                <w:szCs w:val="20"/>
              </w:rPr>
              <w:t xml:space="preserve"> для инфузий 25мг/1мл 4 мл</w:t>
            </w:r>
          </w:p>
        </w:tc>
        <w:tc>
          <w:tcPr>
            <w:tcW w:w="2268" w:type="dxa"/>
            <w:vAlign w:val="center"/>
          </w:tcPr>
          <w:p w14:paraId="621CAE15" w14:textId="77777777" w:rsidR="00772F00" w:rsidRPr="00643CD0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D7805">
              <w:rPr>
                <w:sz w:val="20"/>
                <w:szCs w:val="20"/>
                <w:lang w:val="en-US"/>
              </w:rPr>
              <w:t xml:space="preserve">Reliance Life Sciences Pvt. Ltd., </w:t>
            </w:r>
            <w:r w:rsidRPr="000D7805">
              <w:rPr>
                <w:sz w:val="20"/>
                <w:szCs w:val="20"/>
              </w:rPr>
              <w:t>Индия</w:t>
            </w:r>
          </w:p>
        </w:tc>
        <w:tc>
          <w:tcPr>
            <w:tcW w:w="2126" w:type="dxa"/>
            <w:vAlign w:val="center"/>
          </w:tcPr>
          <w:p w14:paraId="014F50BF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D7805">
              <w:rPr>
                <w:sz w:val="20"/>
                <w:szCs w:val="20"/>
                <w:lang w:val="en-US"/>
              </w:rPr>
              <w:t>25мг/</w:t>
            </w:r>
            <w:proofErr w:type="spellStart"/>
            <w:r w:rsidRPr="000D7805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0D78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7805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0D7805">
              <w:rPr>
                <w:sz w:val="20"/>
                <w:szCs w:val="20"/>
                <w:lang w:val="en-US"/>
              </w:rPr>
              <w:t xml:space="preserve"> 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95F31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72F00" w:rsidRPr="00C35BAF" w14:paraId="20AD187C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8010050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095" w:type="dxa"/>
            <w:vAlign w:val="center"/>
          </w:tcPr>
          <w:p w14:paraId="0975E837" w14:textId="77777777" w:rsidR="00772F00" w:rsidRPr="001E64B9" w:rsidRDefault="00772F00" w:rsidP="00047A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541A">
              <w:rPr>
                <w:sz w:val="20"/>
                <w:szCs w:val="20"/>
              </w:rPr>
              <w:t>Бевацирел</w:t>
            </w:r>
            <w:proofErr w:type="spellEnd"/>
            <w:r w:rsidRPr="0061541A">
              <w:rPr>
                <w:sz w:val="20"/>
                <w:szCs w:val="20"/>
              </w:rPr>
              <w:t xml:space="preserve"> (</w:t>
            </w:r>
            <w:proofErr w:type="spellStart"/>
            <w:r w:rsidRPr="0061541A">
              <w:rPr>
                <w:sz w:val="20"/>
                <w:szCs w:val="20"/>
                <w:lang w:val="en-US"/>
              </w:rPr>
              <w:t>BevaciRel</w:t>
            </w:r>
            <w:proofErr w:type="spellEnd"/>
            <w:r w:rsidRPr="0061541A">
              <w:rPr>
                <w:sz w:val="20"/>
                <w:szCs w:val="20"/>
              </w:rPr>
              <w:t>) концентрат для приготовления р-</w:t>
            </w:r>
            <w:proofErr w:type="spellStart"/>
            <w:r w:rsidRPr="0061541A">
              <w:rPr>
                <w:sz w:val="20"/>
                <w:szCs w:val="20"/>
              </w:rPr>
              <w:t>ра</w:t>
            </w:r>
            <w:proofErr w:type="spellEnd"/>
            <w:r w:rsidRPr="0061541A">
              <w:rPr>
                <w:sz w:val="20"/>
                <w:szCs w:val="20"/>
              </w:rPr>
              <w:t xml:space="preserve"> для инфузий 25мг/1мл 16 мл</w:t>
            </w:r>
          </w:p>
        </w:tc>
        <w:tc>
          <w:tcPr>
            <w:tcW w:w="2268" w:type="dxa"/>
            <w:vAlign w:val="center"/>
          </w:tcPr>
          <w:p w14:paraId="0B5A2FB8" w14:textId="77777777" w:rsidR="00772F00" w:rsidRPr="00643CD0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61541A">
              <w:rPr>
                <w:sz w:val="20"/>
                <w:szCs w:val="20"/>
                <w:lang w:val="en-US"/>
              </w:rPr>
              <w:t xml:space="preserve">Reliance Life Sciences Pvt. Ltd., </w:t>
            </w:r>
            <w:r w:rsidRPr="0061541A">
              <w:rPr>
                <w:sz w:val="20"/>
                <w:szCs w:val="20"/>
              </w:rPr>
              <w:t>Индия</w:t>
            </w:r>
          </w:p>
        </w:tc>
        <w:tc>
          <w:tcPr>
            <w:tcW w:w="2126" w:type="dxa"/>
            <w:vAlign w:val="center"/>
          </w:tcPr>
          <w:p w14:paraId="1DE55FFE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1541A">
              <w:rPr>
                <w:sz w:val="20"/>
                <w:szCs w:val="20"/>
                <w:lang w:val="en-US"/>
              </w:rPr>
              <w:t>25мг/</w:t>
            </w:r>
            <w:proofErr w:type="spellStart"/>
            <w:r w:rsidRPr="0061541A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6154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41A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61541A">
              <w:rPr>
                <w:sz w:val="20"/>
                <w:szCs w:val="20"/>
                <w:lang w:val="en-US"/>
              </w:rPr>
              <w:t xml:space="preserve"> 16мл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044F4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F00" w:rsidRPr="00C35BAF" w14:paraId="6D20E08F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B912098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14:paraId="799C2EFF" w14:textId="77777777" w:rsidR="00772F00" w:rsidRPr="001E64B9" w:rsidRDefault="00772F00" w:rsidP="00047A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48EB">
              <w:rPr>
                <w:sz w:val="20"/>
                <w:szCs w:val="20"/>
              </w:rPr>
              <w:t>Зувисор</w:t>
            </w:r>
            <w:proofErr w:type="spellEnd"/>
            <w:r w:rsidRPr="002348EB">
              <w:rPr>
                <w:sz w:val="20"/>
                <w:szCs w:val="20"/>
              </w:rPr>
              <w:t xml:space="preserve"> (ZUVISOR) 200мг </w:t>
            </w:r>
            <w:proofErr w:type="spellStart"/>
            <w:r w:rsidRPr="002348EB">
              <w:rPr>
                <w:sz w:val="20"/>
                <w:szCs w:val="20"/>
              </w:rPr>
              <w:t>табл</w:t>
            </w:r>
            <w:proofErr w:type="spellEnd"/>
            <w:r w:rsidRPr="002348EB">
              <w:rPr>
                <w:sz w:val="20"/>
                <w:szCs w:val="20"/>
              </w:rPr>
              <w:t xml:space="preserve"> №120</w:t>
            </w:r>
          </w:p>
        </w:tc>
        <w:tc>
          <w:tcPr>
            <w:tcW w:w="2268" w:type="dxa"/>
            <w:vAlign w:val="center"/>
          </w:tcPr>
          <w:p w14:paraId="77C3ED49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348EB">
              <w:rPr>
                <w:sz w:val="20"/>
                <w:szCs w:val="20"/>
                <w:lang w:val="en-US"/>
              </w:rPr>
              <w:t>Zuvius</w:t>
            </w:r>
            <w:proofErr w:type="spellEnd"/>
            <w:r w:rsidRPr="002348EB">
              <w:rPr>
                <w:sz w:val="20"/>
                <w:szCs w:val="20"/>
                <w:lang w:val="en-US"/>
              </w:rPr>
              <w:t xml:space="preserve"> Life Sciences, </w:t>
            </w:r>
            <w:proofErr w:type="spellStart"/>
            <w:r w:rsidRPr="002348EB">
              <w:rPr>
                <w:sz w:val="20"/>
                <w:szCs w:val="20"/>
                <w:lang w:val="en-US"/>
              </w:rPr>
              <w:t>Индия</w:t>
            </w:r>
            <w:proofErr w:type="spellEnd"/>
          </w:p>
        </w:tc>
        <w:tc>
          <w:tcPr>
            <w:tcW w:w="2126" w:type="dxa"/>
            <w:vAlign w:val="center"/>
          </w:tcPr>
          <w:p w14:paraId="32730514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348EB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2348EB">
              <w:rPr>
                <w:sz w:val="20"/>
                <w:szCs w:val="20"/>
                <w:lang w:val="en-US"/>
              </w:rPr>
              <w:t xml:space="preserve"> 200мг №120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697FA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72F00" w:rsidRPr="00C35BAF" w14:paraId="30B2F4F0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153B099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5" w:type="dxa"/>
            <w:vAlign w:val="center"/>
          </w:tcPr>
          <w:p w14:paraId="22AA99E7" w14:textId="77777777" w:rsidR="00772F00" w:rsidRPr="001E64B9" w:rsidRDefault="00772F00" w:rsidP="00047A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48EB">
              <w:rPr>
                <w:sz w:val="20"/>
                <w:szCs w:val="20"/>
              </w:rPr>
              <w:t>Итулси</w:t>
            </w:r>
            <w:proofErr w:type="spellEnd"/>
            <w:r w:rsidRPr="002348EB">
              <w:rPr>
                <w:sz w:val="20"/>
                <w:szCs w:val="20"/>
              </w:rPr>
              <w:t xml:space="preserve"> (</w:t>
            </w:r>
            <w:proofErr w:type="spellStart"/>
            <w:r w:rsidRPr="002348EB">
              <w:rPr>
                <w:sz w:val="20"/>
                <w:szCs w:val="20"/>
              </w:rPr>
              <w:t>Itulsi</w:t>
            </w:r>
            <w:proofErr w:type="spellEnd"/>
            <w:r w:rsidRPr="002348EB">
              <w:rPr>
                <w:sz w:val="20"/>
                <w:szCs w:val="20"/>
              </w:rPr>
              <w:t>) капс.125 мг №21</w:t>
            </w:r>
          </w:p>
        </w:tc>
        <w:tc>
          <w:tcPr>
            <w:tcW w:w="2268" w:type="dxa"/>
            <w:vAlign w:val="center"/>
          </w:tcPr>
          <w:p w14:paraId="05DEEEDD" w14:textId="77777777" w:rsidR="00772F00" w:rsidRPr="00643CD0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348EB">
              <w:rPr>
                <w:sz w:val="20"/>
                <w:szCs w:val="20"/>
              </w:rPr>
              <w:t>WyethHoldingsLLC</w:t>
            </w:r>
            <w:proofErr w:type="spellEnd"/>
            <w:r w:rsidRPr="002348EB">
              <w:rPr>
                <w:sz w:val="20"/>
                <w:szCs w:val="20"/>
              </w:rPr>
              <w:t xml:space="preserve"> США</w:t>
            </w:r>
          </w:p>
        </w:tc>
        <w:tc>
          <w:tcPr>
            <w:tcW w:w="2126" w:type="dxa"/>
            <w:vAlign w:val="center"/>
          </w:tcPr>
          <w:p w14:paraId="547E53C0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48EB">
              <w:rPr>
                <w:sz w:val="20"/>
                <w:szCs w:val="20"/>
              </w:rPr>
              <w:t>капсула 125мг №21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FC0D3" w14:textId="77777777" w:rsidR="00772F00" w:rsidRPr="001E64B9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14:paraId="1FC072E0" w14:textId="77777777" w:rsidR="00772F00" w:rsidRDefault="00772F00" w:rsidP="00772F0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30-</w:t>
      </w:r>
      <w:r>
        <w:rPr>
          <w:lang w:bidi="ru-RU"/>
        </w:rPr>
        <w:t>5</w:t>
      </w:r>
      <w:r w:rsidRPr="009912CA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3503BAFD" w14:textId="77777777" w:rsidR="00772F00" w:rsidRDefault="00772F00" w:rsidP="00772F0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B295DEA" w14:textId="77777777" w:rsidR="00772F00" w:rsidRPr="00061E3B" w:rsidRDefault="00772F00" w:rsidP="00772F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2D04CA54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100%;</w:t>
      </w:r>
    </w:p>
    <w:p w14:paraId="2BD2B6C8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4DBAEE52" w14:textId="77777777" w:rsidR="00772F00" w:rsidRPr="007E119E" w:rsidRDefault="00772F00" w:rsidP="00772F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755AD90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F024C2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3BF1034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43DD59AE" w14:textId="77777777" w:rsidR="00772F00" w:rsidRPr="00C158DF" w:rsidRDefault="00772F00" w:rsidP="00772F00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«Ремедиум»:</w:t>
      </w:r>
    </w:p>
    <w:p w14:paraId="1DC64A4B" w14:textId="77777777" w:rsidR="00772F00" w:rsidRDefault="00772F00" w:rsidP="00772F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«Ремедиум»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Ткаченко И.В</w:t>
      </w:r>
      <w:r w:rsidRPr="00C158DF">
        <w:t>.;</w:t>
      </w:r>
    </w:p>
    <w:p w14:paraId="5B1CF02B" w14:textId="3730E066" w:rsidR="00772F00" w:rsidRDefault="00772F00" w:rsidP="00772F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268"/>
        <w:gridCol w:w="2551"/>
        <w:gridCol w:w="1418"/>
      </w:tblGrid>
      <w:tr w:rsidR="00772F00" w:rsidRPr="00C35BAF" w14:paraId="6B2125E1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036820F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4628242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0D0000E8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551" w:type="dxa"/>
            <w:vAlign w:val="center"/>
          </w:tcPr>
          <w:p w14:paraId="542F7522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D83AD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C35BAF" w14:paraId="242FF714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B714C8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17A53A2A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4F48">
              <w:rPr>
                <w:sz w:val="20"/>
                <w:szCs w:val="20"/>
              </w:rPr>
              <w:t>Ондасетрон</w:t>
            </w:r>
            <w:proofErr w:type="spellEnd"/>
            <w:r w:rsidRPr="00AA4F48">
              <w:rPr>
                <w:sz w:val="20"/>
                <w:szCs w:val="20"/>
              </w:rPr>
              <w:t xml:space="preserve"> 2 мг/мл ампула 4 мл №5</w:t>
            </w:r>
          </w:p>
        </w:tc>
        <w:tc>
          <w:tcPr>
            <w:tcW w:w="2268" w:type="dxa"/>
            <w:vAlign w:val="center"/>
          </w:tcPr>
          <w:p w14:paraId="38B51A53" w14:textId="77777777" w:rsidR="00772F00" w:rsidRPr="00FE23C5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4F48">
              <w:rPr>
                <w:sz w:val="20"/>
                <w:szCs w:val="20"/>
              </w:rPr>
              <w:t>БХФЗ, Украина</w:t>
            </w:r>
          </w:p>
        </w:tc>
        <w:tc>
          <w:tcPr>
            <w:tcW w:w="2551" w:type="dxa"/>
            <w:vAlign w:val="center"/>
          </w:tcPr>
          <w:p w14:paraId="16BFBD6B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A4F48">
              <w:rPr>
                <w:sz w:val="20"/>
                <w:szCs w:val="20"/>
              </w:rPr>
              <w:t xml:space="preserve">2 мг/мл </w:t>
            </w:r>
            <w:proofErr w:type="spellStart"/>
            <w:r w:rsidRPr="00AA4F48">
              <w:rPr>
                <w:sz w:val="20"/>
                <w:szCs w:val="20"/>
              </w:rPr>
              <w:t>амп</w:t>
            </w:r>
            <w:proofErr w:type="spellEnd"/>
            <w:r w:rsidRPr="00AA4F48">
              <w:rPr>
                <w:sz w:val="20"/>
                <w:szCs w:val="20"/>
              </w:rPr>
              <w:t>. 4 мл №5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26E7D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A4F48">
              <w:rPr>
                <w:sz w:val="20"/>
                <w:szCs w:val="20"/>
              </w:rPr>
              <w:t>1 000</w:t>
            </w:r>
          </w:p>
        </w:tc>
      </w:tr>
    </w:tbl>
    <w:p w14:paraId="62CB06FC" w14:textId="77777777" w:rsidR="00772F00" w:rsidRDefault="00772F00" w:rsidP="00772F0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5044A">
        <w:rPr>
          <w:lang w:bidi="ru-RU"/>
        </w:rPr>
        <w:t xml:space="preserve">оставка </w:t>
      </w:r>
      <w:r>
        <w:rPr>
          <w:lang w:bidi="ru-RU"/>
        </w:rPr>
        <w:t>Заказчику</w:t>
      </w:r>
      <w:r w:rsidRPr="0005044A">
        <w:rPr>
          <w:lang w:bidi="ru-RU"/>
        </w:rPr>
        <w:t xml:space="preserve"> будет осуществляется одной партией,</w:t>
      </w:r>
      <w:r>
        <w:rPr>
          <w:lang w:bidi="ru-RU"/>
        </w:rPr>
        <w:t xml:space="preserve"> </w:t>
      </w:r>
      <w:r w:rsidRPr="0005044A">
        <w:rPr>
          <w:lang w:bidi="ru-RU"/>
        </w:rPr>
        <w:t>согласно спецификации к Договору,</w:t>
      </w:r>
      <w:r w:rsidRPr="001C69C4">
        <w:rPr>
          <w:lang w:bidi="ru-RU"/>
        </w:rPr>
        <w:t xml:space="preserve"> </w:t>
      </w:r>
      <w:r w:rsidRPr="0005044A">
        <w:rPr>
          <w:lang w:bidi="ru-RU"/>
        </w:rPr>
        <w:t xml:space="preserve">в течение 60 </w:t>
      </w:r>
      <w:r>
        <w:rPr>
          <w:lang w:bidi="ru-RU"/>
        </w:rPr>
        <w:t>календарных</w:t>
      </w:r>
      <w:r w:rsidRPr="0005044A">
        <w:rPr>
          <w:lang w:bidi="ru-RU"/>
        </w:rPr>
        <w:t xml:space="preserve">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21D7D0C8" w14:textId="77777777" w:rsidR="00772F00" w:rsidRDefault="00772F00" w:rsidP="00772F0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F715D53" w14:textId="77777777" w:rsidR="00772F00" w:rsidRPr="00061E3B" w:rsidRDefault="00772F00" w:rsidP="00772F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B161CBB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5044A">
        <w:t>предоплат</w:t>
      </w:r>
      <w:r>
        <w:t>а</w:t>
      </w:r>
      <w:r w:rsidRPr="0005044A">
        <w:t xml:space="preserve"> в размере 50% от общей стоимости договора</w:t>
      </w:r>
      <w:r>
        <w:t xml:space="preserve">, </w:t>
      </w:r>
      <w:r w:rsidRPr="0005044A">
        <w:t xml:space="preserve">оставшаяся часть суммы 50% оплачивается в течение следующих 30 </w:t>
      </w:r>
      <w:r>
        <w:t xml:space="preserve">календарных </w:t>
      </w:r>
      <w:r w:rsidRPr="0005044A">
        <w:t xml:space="preserve">дней после получения товара на склад </w:t>
      </w:r>
      <w:r>
        <w:t>Заказчику</w:t>
      </w:r>
      <w:r w:rsidRPr="0005044A">
        <w:t>.</w:t>
      </w:r>
    </w:p>
    <w:p w14:paraId="4A591B35" w14:textId="77777777" w:rsidR="00772F00" w:rsidRDefault="00772F00" w:rsidP="00772F00">
      <w:pPr>
        <w:tabs>
          <w:tab w:val="left" w:pos="1134"/>
        </w:tabs>
        <w:ind w:firstLine="709"/>
        <w:jc w:val="both"/>
        <w:rPr>
          <w:b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F81BB1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81BB1">
        <w:rPr>
          <w:bCs/>
          <w:color w:val="000000"/>
        </w:rPr>
        <w:t xml:space="preserve"> соответствии с норма</w:t>
      </w:r>
      <w:r>
        <w:rPr>
          <w:bCs/>
          <w:color w:val="000000"/>
        </w:rPr>
        <w:t>ми</w:t>
      </w:r>
      <w:r w:rsidRPr="00F81BB1">
        <w:rPr>
          <w:bCs/>
          <w:color w:val="000000"/>
        </w:rPr>
        <w:t xml:space="preserve"> ст</w:t>
      </w:r>
      <w:r>
        <w:rPr>
          <w:bCs/>
          <w:color w:val="000000"/>
        </w:rPr>
        <w:t>ат.</w:t>
      </w:r>
      <w:r w:rsidRPr="00F81BB1">
        <w:rPr>
          <w:bCs/>
          <w:color w:val="000000"/>
        </w:rPr>
        <w:t xml:space="preserve"> 468 Гражданского кодекса ПМР в случае существенного изменения обстоятельств после проведения тендера,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из которых стороны исходили при заключении договора,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когда обстоятельства изменились настолько,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что если бы стороны могли это разумно предвидеть,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 xml:space="preserve">то договор был бы заключен на значительно отличающихся условиях (изменением курса </w:t>
      </w:r>
      <w:r w:rsidRPr="00F81BB1">
        <w:rPr>
          <w:bCs/>
          <w:color w:val="000000"/>
        </w:rPr>
        <w:lastRenderedPageBreak/>
        <w:t>валют более чем на 10 процентов,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снятием препарата с производства,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наличием товара у других производителей,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изменением предложения тендерных позиций на внешнем фармацевтическом рынке и др. обстоятельств),</w:t>
      </w:r>
      <w:r>
        <w:rPr>
          <w:bCs/>
          <w:color w:val="000000"/>
        </w:rPr>
        <w:t xml:space="preserve"> </w:t>
      </w:r>
      <w:r w:rsidRPr="00F81BB1">
        <w:rPr>
          <w:bCs/>
          <w:color w:val="000000"/>
        </w:rPr>
        <w:t>возможно изменение соответствующих условий договора исходя из изменившихся обстоятельств</w:t>
      </w:r>
      <w:r>
        <w:rPr>
          <w:bCs/>
          <w:color w:val="000000"/>
        </w:rPr>
        <w:t>;</w:t>
      </w:r>
      <w:r w:rsidRPr="0062473B">
        <w:rPr>
          <w:b/>
        </w:rPr>
        <w:t xml:space="preserve"> </w:t>
      </w:r>
    </w:p>
    <w:p w14:paraId="5775A209" w14:textId="77777777" w:rsidR="00772F00" w:rsidRPr="007E119E" w:rsidRDefault="00772F00" w:rsidP="00772F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6D60EAE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FE1A20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B3D338F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25EFF18F" w14:textId="77777777" w:rsidR="00772F00" w:rsidRPr="00C158DF" w:rsidRDefault="00772F00" w:rsidP="00772F00">
      <w:pPr>
        <w:ind w:firstLine="709"/>
        <w:contextualSpacing/>
        <w:jc w:val="both"/>
      </w:pPr>
      <w:r>
        <w:rPr>
          <w:b/>
          <w:lang w:val="en-US"/>
        </w:rPr>
        <w:t>VI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p w14:paraId="0112B120" w14:textId="77777777" w:rsidR="00772F00" w:rsidRDefault="00772F00" w:rsidP="00772F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 xml:space="preserve">Республиканская клиническая </w:t>
      </w:r>
      <w:proofErr w:type="spellStart"/>
      <w:r>
        <w:t>бльница</w:t>
      </w:r>
      <w:proofErr w:type="spellEnd"/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директора </w:t>
      </w:r>
      <w:r w:rsidRPr="00C158DF">
        <w:t>–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4521D89D" w14:textId="1D998C33" w:rsidR="00772F00" w:rsidRDefault="00772F00" w:rsidP="00772F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rPr>
          <w:b/>
          <w:color w:val="000000"/>
          <w:spacing w:val="4"/>
        </w:rPr>
        <w:t>приобретение</w:t>
      </w:r>
      <w:r>
        <w:t xml:space="preserve">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835"/>
        <w:gridCol w:w="1701"/>
        <w:gridCol w:w="1843"/>
      </w:tblGrid>
      <w:tr w:rsidR="00772F00" w:rsidRPr="00C35BAF" w14:paraId="642D29FF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E7FDD85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4A621E7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3138A62F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654C2DD1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86957A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C35BAF" w14:paraId="2964E046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3B116BF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2BC26193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1FE5">
              <w:rPr>
                <w:sz w:val="20"/>
                <w:szCs w:val="20"/>
              </w:rPr>
              <w:t>Trastuzumab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</w:rPr>
              <w:t>лиоф</w:t>
            </w:r>
            <w:proofErr w:type="spellEnd"/>
            <w:r w:rsidRPr="00011FE5">
              <w:rPr>
                <w:sz w:val="20"/>
                <w:szCs w:val="20"/>
              </w:rPr>
              <w:t>. д/</w:t>
            </w:r>
            <w:proofErr w:type="spellStart"/>
            <w:r w:rsidRPr="00011FE5">
              <w:rPr>
                <w:sz w:val="20"/>
                <w:szCs w:val="20"/>
              </w:rPr>
              <w:t>приг</w:t>
            </w:r>
            <w:proofErr w:type="spellEnd"/>
            <w:r w:rsidRPr="00011FE5">
              <w:rPr>
                <w:sz w:val="20"/>
                <w:szCs w:val="20"/>
              </w:rPr>
              <w:t>. р-</w:t>
            </w:r>
            <w:proofErr w:type="spellStart"/>
            <w:r w:rsidRPr="00011FE5">
              <w:rPr>
                <w:sz w:val="20"/>
                <w:szCs w:val="20"/>
              </w:rPr>
              <w:t>ра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gramStart"/>
            <w:r w:rsidRPr="00011FE5">
              <w:rPr>
                <w:sz w:val="20"/>
                <w:szCs w:val="20"/>
              </w:rPr>
              <w:t>д/ин</w:t>
            </w:r>
            <w:proofErr w:type="gramEnd"/>
            <w:r w:rsidRPr="00011FE5">
              <w:rPr>
                <w:sz w:val="20"/>
                <w:szCs w:val="20"/>
              </w:rPr>
              <w:t>. 150мг флакон №1</w:t>
            </w:r>
          </w:p>
        </w:tc>
        <w:tc>
          <w:tcPr>
            <w:tcW w:w="2835" w:type="dxa"/>
            <w:vAlign w:val="center"/>
          </w:tcPr>
          <w:p w14:paraId="5B26031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1FE5">
              <w:rPr>
                <w:sz w:val="20"/>
                <w:szCs w:val="20"/>
              </w:rPr>
              <w:t>Biocon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</w:rPr>
              <w:t>Biologics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</w:rPr>
              <w:t>Ltd</w:t>
            </w:r>
            <w:proofErr w:type="spellEnd"/>
            <w:r w:rsidRPr="00011FE5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5C527103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11FE5">
              <w:rPr>
                <w:sz w:val="20"/>
                <w:szCs w:val="20"/>
              </w:rPr>
              <w:t>150мг флакон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65522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772F00" w:rsidRPr="00C35BAF" w14:paraId="11876F61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FCA464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003B4455" w14:textId="77777777" w:rsidR="00772F00" w:rsidRPr="00011FE5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0509B">
              <w:rPr>
                <w:sz w:val="20"/>
                <w:szCs w:val="20"/>
              </w:rPr>
              <w:t>Bendawel</w:t>
            </w:r>
            <w:proofErr w:type="spellEnd"/>
            <w:r w:rsidRPr="0030509B">
              <w:rPr>
                <w:sz w:val="20"/>
                <w:szCs w:val="20"/>
              </w:rPr>
              <w:t xml:space="preserve"> 100мг флакон №1</w:t>
            </w:r>
          </w:p>
        </w:tc>
        <w:tc>
          <w:tcPr>
            <w:tcW w:w="2835" w:type="dxa"/>
            <w:vAlign w:val="center"/>
          </w:tcPr>
          <w:p w14:paraId="7CB92699" w14:textId="77777777" w:rsidR="00772F00" w:rsidRPr="008D0EE7" w:rsidRDefault="00772F00" w:rsidP="00047A4C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0509B">
              <w:rPr>
                <w:sz w:val="20"/>
                <w:szCs w:val="20"/>
                <w:lang w:val="en-US"/>
              </w:rPr>
              <w:t>Getwell</w:t>
            </w:r>
            <w:proofErr w:type="spellEnd"/>
            <w:r w:rsidRPr="0030509B">
              <w:rPr>
                <w:sz w:val="20"/>
                <w:szCs w:val="20"/>
                <w:lang w:val="en-US"/>
              </w:rPr>
              <w:t xml:space="preserve"> Oncology Pvt Ltd, </w:t>
            </w:r>
            <w:r w:rsidRPr="0030509B">
              <w:rPr>
                <w:sz w:val="20"/>
                <w:szCs w:val="20"/>
              </w:rPr>
              <w:t>Индия</w:t>
            </w:r>
          </w:p>
        </w:tc>
        <w:tc>
          <w:tcPr>
            <w:tcW w:w="1701" w:type="dxa"/>
            <w:vAlign w:val="center"/>
          </w:tcPr>
          <w:p w14:paraId="660AC4DA" w14:textId="77777777" w:rsidR="00772F00" w:rsidRPr="00011FE5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0509B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30509B">
              <w:rPr>
                <w:sz w:val="20"/>
                <w:szCs w:val="20"/>
                <w:lang w:val="en-US"/>
              </w:rPr>
              <w:t xml:space="preserve"> 100мг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EBE6E" w14:textId="77777777" w:rsidR="00772F00" w:rsidRDefault="00772F00" w:rsidP="00047A4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14:paraId="1060AF9B" w14:textId="1DF25DE8" w:rsidR="00772F00" w:rsidRDefault="00772F00" w:rsidP="00772F00">
      <w:pPr>
        <w:tabs>
          <w:tab w:val="left" w:pos="1185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70B65">
        <w:rPr>
          <w:lang w:bidi="ru-RU"/>
        </w:rPr>
        <w:t xml:space="preserve">оставка осуществляется в течение </w:t>
      </w:r>
      <w:r>
        <w:rPr>
          <w:lang w:bidi="ru-RU"/>
        </w:rPr>
        <w:t>40 рабочих</w:t>
      </w:r>
      <w:r w:rsidRPr="00B70B65">
        <w:rPr>
          <w:lang w:bidi="ru-RU"/>
        </w:rPr>
        <w:t xml:space="preserve"> дней со дня перечисления предоплаты в размере </w:t>
      </w:r>
      <w:r>
        <w:rPr>
          <w:lang w:bidi="ru-RU"/>
        </w:rPr>
        <w:t>50</w:t>
      </w:r>
      <w:r w:rsidRPr="00B70B65">
        <w:rPr>
          <w:lang w:bidi="ru-RU"/>
        </w:rPr>
        <w:t>% от общей стоимости суммы стоимости договора</w:t>
      </w:r>
      <w:r>
        <w:rPr>
          <w:lang w:bidi="ru-RU"/>
        </w:rPr>
        <w:t>;</w:t>
      </w:r>
    </w:p>
    <w:p w14:paraId="683D753E" w14:textId="77777777" w:rsidR="00772F00" w:rsidRPr="005A1751" w:rsidRDefault="00772F00" w:rsidP="00772F00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8C7C49C" w14:textId="77777777" w:rsidR="00772F00" w:rsidRPr="00061E3B" w:rsidRDefault="00772F00" w:rsidP="00772F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2CE5C87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 xml:space="preserve">плата производится в виде предоплаты в размере </w:t>
      </w:r>
      <w:r>
        <w:t>50</w:t>
      </w:r>
      <w:r w:rsidRPr="00B70B65">
        <w:t xml:space="preserve">% от общей стоимости договора. Оставшаяся часть суммы </w:t>
      </w:r>
      <w:r>
        <w:t>50</w:t>
      </w:r>
      <w:r w:rsidRPr="00B70B65">
        <w:t>% оплачивается в те</w:t>
      </w:r>
      <w:r>
        <w:t>ч</w:t>
      </w:r>
      <w:r w:rsidRPr="00B70B65">
        <w:t xml:space="preserve">ение следующих </w:t>
      </w:r>
      <w:r>
        <w:t>3</w:t>
      </w:r>
      <w:r w:rsidRPr="00B70B65">
        <w:t xml:space="preserve">0 календарных дней после получения товара на склад </w:t>
      </w:r>
      <w:r>
        <w:t>Заказчика;</w:t>
      </w:r>
    </w:p>
    <w:p w14:paraId="01C0884E" w14:textId="77777777" w:rsidR="00772F00" w:rsidRPr="00C23602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п</w:t>
      </w:r>
      <w:r w:rsidRPr="00C23602">
        <w:t>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РМ.;</w:t>
      </w:r>
    </w:p>
    <w:p w14:paraId="5239C2F8" w14:textId="77777777" w:rsidR="00772F00" w:rsidRPr="007E119E" w:rsidRDefault="00772F00" w:rsidP="00772F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CF98B80" w14:textId="77777777" w:rsidR="00772F00" w:rsidRPr="00805505" w:rsidRDefault="00772F00" w:rsidP="00772F00">
      <w:pPr>
        <w:tabs>
          <w:tab w:val="left" w:pos="709"/>
          <w:tab w:val="left" w:pos="1134"/>
        </w:tabs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C696B17" w14:textId="77777777" w:rsidR="00772F00" w:rsidRDefault="00772F00" w:rsidP="00772F00">
      <w:pPr>
        <w:tabs>
          <w:tab w:val="left" w:pos="709"/>
          <w:tab w:val="left" w:pos="1134"/>
        </w:tabs>
        <w:ind w:firstLine="709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33E3708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14D21A68" w14:textId="77777777" w:rsidR="00772F00" w:rsidRPr="00C158DF" w:rsidRDefault="00772F00" w:rsidP="00772F00">
      <w:pPr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Вивафарм</w:t>
      </w:r>
      <w:proofErr w:type="spellEnd"/>
      <w:r>
        <w:t>»:</w:t>
      </w:r>
    </w:p>
    <w:p w14:paraId="5B4BBBDB" w14:textId="77777777" w:rsidR="00772F00" w:rsidRDefault="00772F00" w:rsidP="00772F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Вивафарм</w:t>
      </w:r>
      <w:proofErr w:type="spellEnd"/>
      <w:r>
        <w:t xml:space="preserve">» </w:t>
      </w:r>
      <w:r w:rsidRPr="00C158DF">
        <w:t>в лице</w:t>
      </w:r>
      <w:r>
        <w:t xml:space="preserve"> коммерческого д</w:t>
      </w:r>
      <w:r w:rsidRPr="00C158DF">
        <w:t>иректора –</w:t>
      </w:r>
      <w:r>
        <w:t>Нагорной А.В</w:t>
      </w:r>
      <w:r w:rsidRPr="00C158DF">
        <w:t>.;</w:t>
      </w:r>
    </w:p>
    <w:p w14:paraId="0372A39E" w14:textId="76095762" w:rsidR="00772F00" w:rsidRDefault="00772F00" w:rsidP="00772F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126"/>
        <w:gridCol w:w="1985"/>
        <w:gridCol w:w="1559"/>
      </w:tblGrid>
      <w:tr w:rsidR="00772F00" w:rsidRPr="00C35BAF" w14:paraId="483D86F5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FFB9CD1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52BBF583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0FC6788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4C0AE05B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DF2ED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C35BAF" w14:paraId="5FF93316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6F346D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743B281D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1FE5">
              <w:rPr>
                <w:sz w:val="20"/>
                <w:szCs w:val="20"/>
              </w:rPr>
              <w:t>Фулвестрант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</w:rPr>
              <w:t>Ромфарм</w:t>
            </w:r>
            <w:proofErr w:type="spellEnd"/>
            <w:r w:rsidRPr="00011FE5">
              <w:rPr>
                <w:sz w:val="20"/>
                <w:szCs w:val="20"/>
              </w:rPr>
              <w:t xml:space="preserve"> раствор для в/м введения</w:t>
            </w:r>
          </w:p>
        </w:tc>
        <w:tc>
          <w:tcPr>
            <w:tcW w:w="2126" w:type="dxa"/>
            <w:vAlign w:val="center"/>
          </w:tcPr>
          <w:p w14:paraId="1C7EDDBE" w14:textId="77777777" w:rsidR="00772F00" w:rsidRPr="00FE23C5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11FE5">
              <w:rPr>
                <w:sz w:val="20"/>
                <w:szCs w:val="20"/>
                <w:lang w:val="en-US"/>
              </w:rPr>
              <w:t xml:space="preserve">S.C. </w:t>
            </w:r>
            <w:proofErr w:type="spellStart"/>
            <w:r w:rsidRPr="00011FE5">
              <w:rPr>
                <w:sz w:val="20"/>
                <w:szCs w:val="20"/>
                <w:lang w:val="en-US"/>
              </w:rPr>
              <w:t>Rompharm</w:t>
            </w:r>
            <w:proofErr w:type="spellEnd"/>
            <w:r w:rsidRPr="00011FE5">
              <w:rPr>
                <w:sz w:val="20"/>
                <w:szCs w:val="20"/>
                <w:lang w:val="en-US"/>
              </w:rPr>
              <w:t xml:space="preserve"> Company S.R.L. </w:t>
            </w:r>
            <w:r w:rsidRPr="00011FE5">
              <w:rPr>
                <w:sz w:val="20"/>
                <w:szCs w:val="20"/>
              </w:rPr>
              <w:t>Румыния</w:t>
            </w:r>
          </w:p>
        </w:tc>
        <w:tc>
          <w:tcPr>
            <w:tcW w:w="1985" w:type="dxa"/>
            <w:vAlign w:val="center"/>
          </w:tcPr>
          <w:p w14:paraId="4A0D8994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1FE5">
              <w:rPr>
                <w:sz w:val="20"/>
                <w:szCs w:val="20"/>
                <w:lang w:val="en-US"/>
              </w:rPr>
              <w:t>Преднаполненный</w:t>
            </w:r>
            <w:proofErr w:type="spellEnd"/>
            <w:r w:rsidRPr="00011F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  <w:lang w:val="en-US"/>
              </w:rPr>
              <w:t>шприц</w:t>
            </w:r>
            <w:proofErr w:type="spellEnd"/>
            <w:r w:rsidRPr="00011FE5">
              <w:rPr>
                <w:sz w:val="20"/>
                <w:szCs w:val="20"/>
                <w:lang w:val="en-US"/>
              </w:rPr>
              <w:t xml:space="preserve"> 250мг/5мл №2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3DE84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14:paraId="3BD4AB24" w14:textId="77777777" w:rsidR="00772F00" w:rsidRDefault="00772F00" w:rsidP="00772F0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>
        <w:rPr>
          <w:lang w:bidi="ru-RU"/>
        </w:rPr>
        <w:t xml:space="preserve"> </w:t>
      </w:r>
      <w:r w:rsidRPr="003B1303">
        <w:rPr>
          <w:lang w:bidi="ru-RU"/>
        </w:rPr>
        <w:t>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68B6585F" w14:textId="77777777" w:rsidR="00772F00" w:rsidRDefault="00772F00" w:rsidP="00772F0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6691B9D" w14:textId="77777777" w:rsidR="00772F00" w:rsidRPr="00061E3B" w:rsidRDefault="00772F00" w:rsidP="00772F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79552D79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 xml:space="preserve">плата производится в виде предоплаты в размере </w:t>
      </w:r>
      <w:r>
        <w:t>50</w:t>
      </w:r>
      <w:r w:rsidRPr="00B70B65">
        <w:t xml:space="preserve">% от общей стоимости договора. Оставшаяся часть суммы </w:t>
      </w:r>
      <w:r>
        <w:t>50</w:t>
      </w:r>
      <w:r w:rsidRPr="00B70B65">
        <w:t>% оплачивается в те</w:t>
      </w:r>
      <w:r>
        <w:t>ч</w:t>
      </w:r>
      <w:r w:rsidRPr="00B70B65">
        <w:t xml:space="preserve">ение следующих </w:t>
      </w:r>
      <w:r>
        <w:t>3</w:t>
      </w:r>
      <w:r w:rsidRPr="00B70B65">
        <w:t xml:space="preserve">0 </w:t>
      </w:r>
      <w:r>
        <w:t>рабочих</w:t>
      </w:r>
      <w:r w:rsidRPr="00B70B65">
        <w:t xml:space="preserve"> дней после получения товара на склад </w:t>
      </w:r>
      <w:r>
        <w:t>Заказчика</w:t>
      </w:r>
    </w:p>
    <w:p w14:paraId="53BE7A2F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4D624766" w14:textId="77777777" w:rsidR="00772F00" w:rsidRPr="007E119E" w:rsidRDefault="00772F00" w:rsidP="00772F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E59E43A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956C8B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4720AC8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46145EEA" w14:textId="77777777" w:rsidR="00772F00" w:rsidRPr="00C158DF" w:rsidRDefault="00772F00" w:rsidP="00772F00">
      <w:pPr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p w14:paraId="168A230F" w14:textId="77777777" w:rsidR="00772F00" w:rsidRDefault="00772F00" w:rsidP="00772F0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 xml:space="preserve">в </w:t>
      </w:r>
      <w:proofErr w:type="spellStart"/>
      <w:r>
        <w:t>и.о</w:t>
      </w:r>
      <w:proofErr w:type="spellEnd"/>
      <w:r>
        <w:t xml:space="preserve"> </w:t>
      </w:r>
      <w:r w:rsidRPr="00C158DF">
        <w:t>лице</w:t>
      </w:r>
      <w:r>
        <w:t xml:space="preserve"> д</w:t>
      </w:r>
      <w:r w:rsidRPr="00C158DF">
        <w:t>иректора –</w:t>
      </w:r>
      <w:r>
        <w:t>Терентьева Ю.А</w:t>
      </w:r>
      <w:r w:rsidRPr="00C158DF">
        <w:t>.;</w:t>
      </w:r>
    </w:p>
    <w:p w14:paraId="4C6FA714" w14:textId="0BE00E82" w:rsidR="00772F00" w:rsidRDefault="00772F00" w:rsidP="00772F0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835"/>
        <w:gridCol w:w="1843"/>
        <w:gridCol w:w="1417"/>
      </w:tblGrid>
      <w:tr w:rsidR="00772F00" w:rsidRPr="00C35BAF" w14:paraId="79EC6B7C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2697FAE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5454391C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3E1FCD99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651F4C08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B4CCDB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72F00" w:rsidRPr="00C35BAF" w14:paraId="07735A39" w14:textId="77777777" w:rsidTr="00772F0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E46ABB" w14:textId="77777777" w:rsidR="00772F00" w:rsidRPr="0038191C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3EDF7D59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11FE5">
              <w:rPr>
                <w:sz w:val="20"/>
                <w:szCs w:val="20"/>
              </w:rPr>
              <w:t>EPBRIV раствор для инъекций 0,5мг/мл, флакон 2 мл №1</w:t>
            </w:r>
          </w:p>
        </w:tc>
        <w:tc>
          <w:tcPr>
            <w:tcW w:w="2835" w:type="dxa"/>
            <w:vAlign w:val="center"/>
          </w:tcPr>
          <w:p w14:paraId="1ED88B16" w14:textId="77777777" w:rsidR="00772F00" w:rsidRPr="00FE23C5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1FE5">
              <w:rPr>
                <w:sz w:val="20"/>
                <w:szCs w:val="20"/>
              </w:rPr>
              <w:t>Hetero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</w:rPr>
              <w:t>Helthcare</w:t>
            </w:r>
            <w:proofErr w:type="spellEnd"/>
            <w:r w:rsidRPr="00011FE5">
              <w:rPr>
                <w:sz w:val="20"/>
                <w:szCs w:val="20"/>
              </w:rPr>
              <w:t xml:space="preserve"> </w:t>
            </w:r>
            <w:proofErr w:type="spellStart"/>
            <w:r w:rsidRPr="00011FE5">
              <w:rPr>
                <w:sz w:val="20"/>
                <w:szCs w:val="20"/>
              </w:rPr>
              <w:t>Ltd</w:t>
            </w:r>
            <w:proofErr w:type="spellEnd"/>
            <w:r w:rsidRPr="00011FE5">
              <w:rPr>
                <w:sz w:val="20"/>
                <w:szCs w:val="20"/>
              </w:rPr>
              <w:t>, Индия</w:t>
            </w:r>
          </w:p>
        </w:tc>
        <w:tc>
          <w:tcPr>
            <w:tcW w:w="1843" w:type="dxa"/>
            <w:vAlign w:val="center"/>
          </w:tcPr>
          <w:p w14:paraId="745C96F7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11FE5">
              <w:rPr>
                <w:sz w:val="20"/>
                <w:szCs w:val="20"/>
              </w:rPr>
              <w:t>0,5мг/мл флакон 2мл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888FA" w14:textId="77777777" w:rsidR="00772F00" w:rsidRDefault="00772F00" w:rsidP="00047A4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F58F0C8" w14:textId="77777777" w:rsidR="00772F00" w:rsidRDefault="00772F00" w:rsidP="00772F0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>
        <w:rPr>
          <w:lang w:bidi="ru-RU"/>
        </w:rPr>
        <w:t xml:space="preserve"> </w:t>
      </w:r>
      <w:r w:rsidRPr="003B1303">
        <w:rPr>
          <w:lang w:bidi="ru-RU"/>
        </w:rPr>
        <w:t>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421A0BB6" w14:textId="77777777" w:rsidR="00772F00" w:rsidRDefault="00772F00" w:rsidP="00772F0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C40240C" w14:textId="77777777" w:rsidR="00772F00" w:rsidRPr="00061E3B" w:rsidRDefault="00772F00" w:rsidP="00772F0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3B3E5E2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предоплата в размере 100%;</w:t>
      </w:r>
    </w:p>
    <w:p w14:paraId="6786DCF3" w14:textId="77777777" w:rsidR="00772F00" w:rsidRDefault="00772F00" w:rsidP="00772F0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3BD74BEA" w14:textId="77777777" w:rsidR="00772F00" w:rsidRPr="007E119E" w:rsidRDefault="00772F00" w:rsidP="00772F0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D883097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CBCEFDC" w14:textId="77777777" w:rsidR="00772F00" w:rsidRPr="00F87A3E" w:rsidRDefault="00772F00" w:rsidP="00772F00">
      <w:pPr>
        <w:ind w:firstLine="709"/>
        <w:jc w:val="both"/>
      </w:pPr>
      <w:r w:rsidRPr="00F87A3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74AD769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0D36C72A" w14:textId="77777777" w:rsidR="00772F00" w:rsidRDefault="00772F00" w:rsidP="00772F00">
      <w:pPr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IX</w:t>
      </w:r>
      <w:r w:rsidRPr="005B5AC4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331"/>
        <w:gridCol w:w="2117"/>
        <w:gridCol w:w="1388"/>
      </w:tblGrid>
      <w:tr w:rsidR="00772F00" w:rsidRPr="00250AB1" w14:paraId="471D11FA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5F04" w14:textId="77777777" w:rsidR="00772F00" w:rsidRPr="00250AB1" w:rsidRDefault="00772F00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E3E" w14:textId="77777777" w:rsidR="00772F00" w:rsidRPr="00250AB1" w:rsidRDefault="00772F00" w:rsidP="00047A4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B66F" w14:textId="77777777" w:rsidR="00772F00" w:rsidRPr="00250AB1" w:rsidRDefault="00772F00" w:rsidP="00047A4C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85DB" w14:textId="77777777" w:rsidR="00772F00" w:rsidRPr="00250AB1" w:rsidRDefault="00772F00" w:rsidP="00047A4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772F00" w:rsidRPr="00250AB1" w14:paraId="62EBCC7D" w14:textId="77777777" w:rsidTr="00047A4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17B" w14:textId="77777777" w:rsidR="00772F00" w:rsidRPr="00250AB1" w:rsidRDefault="00772F00" w:rsidP="00047A4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2778" w14:textId="77777777" w:rsidR="00772F00" w:rsidRPr="00487363" w:rsidRDefault="00772F00" w:rsidP="00047A4C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87363">
              <w:rPr>
                <w:bCs/>
                <w:sz w:val="20"/>
                <w:szCs w:val="20"/>
              </w:rPr>
              <w:t>Бендамустин</w:t>
            </w:r>
            <w:proofErr w:type="spellEnd"/>
            <w:r w:rsidRPr="0048736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7363">
              <w:rPr>
                <w:bCs/>
                <w:sz w:val="20"/>
                <w:szCs w:val="20"/>
              </w:rPr>
              <w:t>лиофилизат</w:t>
            </w:r>
            <w:proofErr w:type="spellEnd"/>
            <w:r w:rsidRPr="00487363">
              <w:rPr>
                <w:bCs/>
                <w:sz w:val="20"/>
                <w:szCs w:val="20"/>
              </w:rP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13FD" w14:textId="77777777" w:rsidR="00772F00" w:rsidRPr="00487363" w:rsidRDefault="00772F00" w:rsidP="00047A4C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487363">
              <w:rPr>
                <w:bCs/>
                <w:sz w:val="20"/>
                <w:szCs w:val="20"/>
              </w:rPr>
              <w:t>флакон 25мг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B23F" w14:textId="77777777" w:rsidR="00772F00" w:rsidRPr="00487363" w:rsidRDefault="00772F00" w:rsidP="00047A4C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487363">
              <w:rPr>
                <w:bCs/>
                <w:color w:val="000000"/>
                <w:sz w:val="20"/>
                <w:szCs w:val="20"/>
              </w:rPr>
              <w:t>300</w:t>
            </w:r>
          </w:p>
        </w:tc>
      </w:tr>
    </w:tbl>
    <w:p w14:paraId="0B10BAB2" w14:textId="77777777" w:rsidR="00772F00" w:rsidRDefault="00772F00" w:rsidP="00772F00">
      <w:pPr>
        <w:shd w:val="clear" w:color="auto" w:fill="FFFFFF"/>
        <w:ind w:firstLine="709"/>
        <w:contextualSpacing/>
        <w:jc w:val="both"/>
        <w:rPr>
          <w:bCs/>
        </w:rPr>
      </w:pPr>
    </w:p>
    <w:p w14:paraId="1BD6E5A1" w14:textId="77777777" w:rsidR="00772F00" w:rsidRDefault="00772F00" w:rsidP="00772F00">
      <w:pPr>
        <w:ind w:firstLine="709"/>
        <w:contextualSpacing/>
        <w:jc w:val="both"/>
      </w:pPr>
      <w:r>
        <w:rPr>
          <w:b/>
          <w:lang w:val="en-US"/>
        </w:rPr>
        <w:t>X</w:t>
      </w:r>
      <w:r w:rsidRPr="005B5AC4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4F4A2B66" w14:textId="77777777" w:rsidR="00772F00" w:rsidRDefault="00772F00" w:rsidP="00772F00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подраздел 3008 </w:t>
      </w:r>
      <w:r>
        <w:rPr>
          <w:b/>
          <w:color w:val="000000" w:themeColor="text1"/>
        </w:rPr>
        <w:br/>
        <w:t>(ГЦП «Онкология: совершенствование онкологической помощи населению Приднестровской Молдавской Республики» на 2021-2025 годы).</w:t>
      </w:r>
    </w:p>
    <w:p w14:paraId="6B6FC470" w14:textId="77777777" w:rsidR="00772F00" w:rsidRDefault="00772F00" w:rsidP="00772F0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  <w:bookmarkStart w:id="2" w:name="_GoBack"/>
      <w:bookmarkEnd w:id="2"/>
    </w:p>
    <w:sectPr w:rsidR="0077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88"/>
    <w:rsid w:val="00772F00"/>
    <w:rsid w:val="00971B88"/>
    <w:rsid w:val="009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515"/>
  <w15:chartTrackingRefBased/>
  <w15:docId w15:val="{9194697A-CD4E-4FA0-9A69-18982975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2F00"/>
  </w:style>
  <w:style w:type="character" w:customStyle="1" w:styleId="msg-body-block">
    <w:name w:val="msg-body-block"/>
    <w:basedOn w:val="a0"/>
    <w:rsid w:val="00772F00"/>
  </w:style>
  <w:style w:type="paragraph" w:styleId="a3">
    <w:name w:val="header"/>
    <w:basedOn w:val="a"/>
    <w:link w:val="a4"/>
    <w:uiPriority w:val="99"/>
    <w:unhideWhenUsed/>
    <w:rsid w:val="00772F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2F00"/>
  </w:style>
  <w:style w:type="paragraph" w:styleId="a5">
    <w:name w:val="footer"/>
    <w:basedOn w:val="a"/>
    <w:link w:val="a6"/>
    <w:uiPriority w:val="99"/>
    <w:unhideWhenUsed/>
    <w:rsid w:val="00772F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72F00"/>
  </w:style>
  <w:style w:type="paragraph" w:styleId="a7">
    <w:name w:val="Balloon Text"/>
    <w:basedOn w:val="a"/>
    <w:link w:val="a8"/>
    <w:uiPriority w:val="99"/>
    <w:semiHidden/>
    <w:unhideWhenUsed/>
    <w:rsid w:val="00772F0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5247</Words>
  <Characters>29909</Characters>
  <Application>Microsoft Office Word</Application>
  <DocSecurity>0</DocSecurity>
  <Lines>249</Lines>
  <Paragraphs>70</Paragraphs>
  <ScaleCrop>false</ScaleCrop>
  <Company/>
  <LinksUpToDate>false</LinksUpToDate>
  <CharactersWithSpaces>35086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2021-11-04T09:11:00Z</cp:lastPrinted>
  <dcterms:created xsi:type="dcterms:W3CDTF">2021-11-04T09:07:00Z</dcterms:created>
  <dcterms:modified xsi:type="dcterms:W3CDTF">2021-11-04T09:11:00Z</dcterms:modified>
</cp:coreProperties>
</file>